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FD74CC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</w:p>
    <w:p w:rsidR="00FD74CC" w:rsidRDefault="00886415" w:rsidP="0088641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</w:t>
      </w:r>
      <w:r w:rsidR="00D3315F">
        <w:rPr>
          <w:rFonts w:ascii="Times New Roman" w:hAnsi="Times New Roman"/>
          <w:b/>
          <w:sz w:val="28"/>
          <w:szCs w:val="28"/>
        </w:rPr>
        <w:t xml:space="preserve"> </w:t>
      </w:r>
      <w:r w:rsidR="00B75DCF" w:rsidRPr="00B75DCF">
        <w:rPr>
          <w:rFonts w:ascii="Times New Roman" w:hAnsi="Times New Roman"/>
          <w:b/>
          <w:sz w:val="28"/>
          <w:szCs w:val="28"/>
        </w:rPr>
        <w:t>Суксунского</w:t>
      </w:r>
    </w:p>
    <w:p w:rsidR="00B75DCF" w:rsidRPr="00B75DCF" w:rsidRDefault="00FD74CC" w:rsidP="0088641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886415">
        <w:rPr>
          <w:rFonts w:ascii="Times New Roman" w:hAnsi="Times New Roman"/>
          <w:b/>
          <w:sz w:val="28"/>
          <w:szCs w:val="28"/>
        </w:rPr>
        <w:t>ородск</w:t>
      </w:r>
      <w:r w:rsidR="00B75DCF" w:rsidRPr="00B75DCF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6415">
        <w:rPr>
          <w:rFonts w:ascii="Times New Roman" w:hAnsi="Times New Roman"/>
          <w:b/>
          <w:sz w:val="28"/>
          <w:szCs w:val="28"/>
        </w:rPr>
        <w:t>округ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а </w:t>
      </w:r>
      <w:r w:rsidR="00886415">
        <w:rPr>
          <w:rFonts w:ascii="Times New Roman" w:hAnsi="Times New Roman"/>
          <w:b/>
          <w:sz w:val="28"/>
          <w:szCs w:val="28"/>
        </w:rPr>
        <w:t xml:space="preserve">Пермского края </w:t>
      </w:r>
      <w:r w:rsidR="00B75DCF"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</w:t>
      </w:r>
      <w:r w:rsidR="00D47A78">
        <w:rPr>
          <w:rFonts w:ascii="Times New Roman" w:hAnsi="Times New Roman"/>
          <w:b/>
          <w:sz w:val="28"/>
          <w:szCs w:val="28"/>
        </w:rPr>
        <w:t>1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FD7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A56BB0">
        <w:rPr>
          <w:rFonts w:ascii="Times New Roman" w:hAnsi="Times New Roman"/>
          <w:sz w:val="28"/>
          <w:szCs w:val="28"/>
        </w:rPr>
        <w:t>07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A56BB0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</w:t>
      </w:r>
      <w:r w:rsidR="00D47A78">
        <w:rPr>
          <w:rFonts w:ascii="Times New Roman" w:hAnsi="Times New Roman"/>
          <w:sz w:val="28"/>
          <w:szCs w:val="28"/>
        </w:rPr>
        <w:t>2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A56BB0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A56BB0">
        <w:rPr>
          <w:rFonts w:ascii="Times New Roman" w:hAnsi="Times New Roman"/>
          <w:sz w:val="28"/>
          <w:szCs w:val="28"/>
        </w:rPr>
        <w:t>3</w:t>
      </w:r>
    </w:p>
    <w:p w:rsidR="00FD74CC" w:rsidRDefault="00FD74CC" w:rsidP="00FD74C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4CC" w:rsidRDefault="00FD74CC" w:rsidP="00FD74C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3F2" w:rsidRDefault="001B7F56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47A7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2.3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D47A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палаты Суксунского городского округа Пермского края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7A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ряжени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Пермского края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41043" w:rsidRPr="00E41043">
        <w:rPr>
          <w:rFonts w:ascii="Times New Roman" w:hAnsi="Times New Roman"/>
          <w:sz w:val="28"/>
          <w:szCs w:val="28"/>
        </w:rPr>
        <w:t>29</w:t>
      </w:r>
      <w:r w:rsidR="00660CFC" w:rsidRPr="00E41043">
        <w:rPr>
          <w:rFonts w:ascii="Times New Roman" w:hAnsi="Times New Roman"/>
          <w:sz w:val="28"/>
          <w:szCs w:val="28"/>
        </w:rPr>
        <w:t>.03.202</w:t>
      </w:r>
      <w:r w:rsidR="00E41043" w:rsidRPr="00E41043">
        <w:rPr>
          <w:rFonts w:ascii="Times New Roman" w:hAnsi="Times New Roman"/>
          <w:sz w:val="28"/>
          <w:szCs w:val="28"/>
        </w:rPr>
        <w:t>2</w:t>
      </w:r>
      <w:r w:rsidR="00660CFC" w:rsidRPr="00E41043">
        <w:rPr>
          <w:rFonts w:ascii="Times New Roman" w:hAnsi="Times New Roman"/>
          <w:sz w:val="28"/>
          <w:szCs w:val="28"/>
        </w:rPr>
        <w:t xml:space="preserve"> № </w:t>
      </w:r>
      <w:r w:rsidR="00E41043">
        <w:rPr>
          <w:rFonts w:ascii="Times New Roman" w:hAnsi="Times New Roman"/>
          <w:sz w:val="28"/>
          <w:szCs w:val="28"/>
        </w:rPr>
        <w:t>5</w:t>
      </w:r>
      <w:r w:rsidR="00660CFC" w:rsidRPr="00660CFC">
        <w:rPr>
          <w:rFonts w:ascii="Times New Roman" w:hAnsi="Times New Roman"/>
          <w:sz w:val="28"/>
          <w:szCs w:val="28"/>
        </w:rPr>
        <w:t xml:space="preserve"> «О проведении внешней проверки бюджетной отчетности Контрольно-счетной палаты Суксунского городского округа Пермского края за 202</w:t>
      </w:r>
      <w:r w:rsidR="00D47A78">
        <w:rPr>
          <w:rFonts w:ascii="Times New Roman" w:hAnsi="Times New Roman"/>
          <w:sz w:val="28"/>
          <w:szCs w:val="28"/>
        </w:rPr>
        <w:t>1</w:t>
      </w:r>
      <w:r w:rsidR="00660CFC" w:rsidRPr="00660CFC">
        <w:rPr>
          <w:rFonts w:ascii="Times New Roman" w:hAnsi="Times New Roman"/>
          <w:sz w:val="28"/>
          <w:szCs w:val="28"/>
        </w:rPr>
        <w:t xml:space="preserve"> год»</w:t>
      </w:r>
      <w:r w:rsidR="00660CFC">
        <w:rPr>
          <w:rFonts w:ascii="Times New Roman" w:hAnsi="Times New Roman"/>
          <w:sz w:val="28"/>
          <w:szCs w:val="28"/>
        </w:rPr>
        <w:t xml:space="preserve">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бюджетной о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четности </w:t>
      </w:r>
      <w:r w:rsidR="00FD74C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администратора бюджетных средств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латы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</w:t>
      </w:r>
      <w:proofErr w:type="gramEnd"/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7A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74CC" w:rsidRPr="00FD74CC" w:rsidRDefault="00FD74CC" w:rsidP="00FD74CC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E96" w:rsidRPr="00FD74CC" w:rsidRDefault="00B8161C" w:rsidP="00FD74CC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4CC">
        <w:rPr>
          <w:rFonts w:ascii="Times New Roman" w:hAnsi="Times New Roman"/>
          <w:b/>
          <w:sz w:val="28"/>
          <w:szCs w:val="28"/>
        </w:rPr>
        <w:t>Цел</w:t>
      </w:r>
      <w:r w:rsidR="003E4E33" w:rsidRPr="00FD74CC">
        <w:rPr>
          <w:rFonts w:ascii="Times New Roman" w:hAnsi="Times New Roman"/>
          <w:b/>
          <w:sz w:val="28"/>
          <w:szCs w:val="28"/>
        </w:rPr>
        <w:t>ь</w:t>
      </w:r>
      <w:r w:rsidRPr="00FD74CC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FD74CC" w:rsidRPr="00FD74CC" w:rsidRDefault="00FD74CC" w:rsidP="00FD74CC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5BF" w:rsidRDefault="00F70E96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E9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Установить степень полноты бюджетной отчетности за 202</w:t>
      </w:r>
      <w:r w:rsidR="004402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ее соо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ветствие требованиям Инструкции о порядке составления и представления год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вой, квартальной и месячной отчетности об исполнении бюджетов бюджетной с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стемы Российской Федерации, утвержденной приказом Министерства финансов Российской Федерации от 28.12.2010 № 191н «Об утверждении Инструкции о п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</w:t>
      </w:r>
      <w:proofErr w:type="gramEnd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proofErr w:type="gramStart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191н) по составу и содержанию.</w:t>
      </w:r>
      <w:proofErr w:type="gramEnd"/>
    </w:p>
    <w:p w:rsidR="00564CBC" w:rsidRPr="00564CBC" w:rsidRDefault="00564CBC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564CBC" w:rsidRPr="00564CBC" w:rsidRDefault="00564CBC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</w:t>
      </w:r>
      <w:r w:rsidR="004402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FD74CC" w:rsidRDefault="00FD74CC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BC" w:rsidRPr="00564CBC" w:rsidRDefault="00564CBC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годовой отчетности об исполнении бюджета Контрол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но-счетной палаты проводилась на выборочной основе с применением принципа существенности и включала в себя анализ, сопоставление и оценку годовой бю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жетной отчетности ГАБС, данных Финансового управления Администрации Су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Пермского края об исполнении бюджета и других м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териалов.</w:t>
      </w:r>
    </w:p>
    <w:p w:rsidR="00FD74CC" w:rsidRDefault="00FD74CC" w:rsidP="00FD74CC">
      <w:pPr>
        <w:pStyle w:val="21"/>
        <w:widowControl w:val="0"/>
        <w:spacing w:line="240" w:lineRule="exact"/>
        <w:ind w:firstLine="709"/>
        <w:rPr>
          <w:b/>
        </w:rPr>
      </w:pPr>
    </w:p>
    <w:p w:rsidR="003E4E33" w:rsidRDefault="00283D91" w:rsidP="00FD74CC">
      <w:pPr>
        <w:pStyle w:val="21"/>
        <w:widowControl w:val="0"/>
        <w:spacing w:line="240" w:lineRule="exact"/>
        <w:ind w:firstLine="709"/>
        <w:rPr>
          <w:b/>
        </w:rPr>
      </w:pPr>
      <w:r w:rsidRPr="00AB45BF">
        <w:rPr>
          <w:b/>
        </w:rPr>
        <w:t>Краткая информация об объекте контрольного мероприятия:</w:t>
      </w:r>
    </w:p>
    <w:p w:rsidR="00BC3BD3" w:rsidRPr="00AB45BF" w:rsidRDefault="00BC3BD3" w:rsidP="00FD74CC">
      <w:pPr>
        <w:pStyle w:val="21"/>
        <w:widowControl w:val="0"/>
        <w:spacing w:line="240" w:lineRule="exact"/>
        <w:ind w:firstLine="709"/>
        <w:rPr>
          <w:b/>
        </w:rPr>
      </w:pPr>
    </w:p>
    <w:p w:rsidR="00770617" w:rsidRPr="00770617" w:rsidRDefault="00770617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Суксунского городского округа Пермского края является постоянно действующим органом внешнего муниципального финанс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вого контроля Суксунского городского округа, образована Думой Суксунского городского округа и ей подотчетна.</w:t>
      </w:r>
    </w:p>
    <w:p w:rsidR="00770617" w:rsidRPr="00770617" w:rsidRDefault="00770617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Контрольно-счетная палата обладает организационной и функциональной 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независимостью и осуществляет свою деятельность самостоятельно.</w:t>
      </w:r>
    </w:p>
    <w:p w:rsidR="00770617" w:rsidRPr="00770617" w:rsidRDefault="00770617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является органом местного самоуправления Суксунского городского округа, обладает правами юридического лица, имеет ге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бовую печать и бланки со своим наименованием и с изображением герба Суксу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округа.</w:t>
      </w:r>
    </w:p>
    <w:p w:rsidR="00770617" w:rsidRPr="00770617" w:rsidRDefault="00770617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осуществляет свои полномочия в пределах, установленных Конституцией и действующим законодательством Российской Федерации, Пермского края, нормативными правовыми актами Суксунского г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округа, действует на основании Положения о Контрольно-счетной пал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те Суксунского городского округа Пермского края, утвержденного решением Д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мы Суксунского городского округа от 19.12.2019 № 64 «Об образовании Ко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трольно-счетной палаты Суксунского городского округа Пермского края».</w:t>
      </w:r>
      <w:proofErr w:type="gramEnd"/>
    </w:p>
    <w:p w:rsidR="00770617" w:rsidRPr="00770617" w:rsidRDefault="00770617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не имеет подведомственных участников бю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жетного процесса, учреждений и муниципальных унитарных предприятий.</w:t>
      </w:r>
    </w:p>
    <w:p w:rsidR="00770617" w:rsidRPr="00770617" w:rsidRDefault="00770617" w:rsidP="00FD7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Контрольно-счетная палата Суксунского городского округа Пермского края.</w:t>
      </w:r>
    </w:p>
    <w:p w:rsidR="00770617" w:rsidRPr="00770617" w:rsidRDefault="00770617" w:rsidP="00FD7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КСП Суксунского городского округа.</w:t>
      </w:r>
    </w:p>
    <w:p w:rsidR="00770617" w:rsidRPr="00770617" w:rsidRDefault="00770617" w:rsidP="00FD7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зарегистрирована в ЕГРЮЛ 24.12.2019 года.</w:t>
      </w:r>
    </w:p>
    <w:p w:rsidR="00770617" w:rsidRPr="00770617" w:rsidRDefault="00770617" w:rsidP="00FD7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адрес: 617560, Пермский край, Суксунский район, рабочий поселок Суксун, улица Кирова, дом 44.</w:t>
      </w:r>
    </w:p>
    <w:p w:rsidR="00770617" w:rsidRPr="00770617" w:rsidRDefault="00770617" w:rsidP="00FD7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ИНН 5917005721, КПП 591701001.</w:t>
      </w:r>
    </w:p>
    <w:p w:rsidR="00770617" w:rsidRPr="00770617" w:rsidRDefault="00770617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0617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Руководителем Контрольно-счетной палаты является п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редседатель Ко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трольно-счетной палаты Суксунского городского округа Пермского края Тугол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кова Ольга Геннадьевна, назначенная на должность решениями Думы Суксунск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го городского округа от 19.12.2019 № 64 «Об образовании Контрольно-счетной палаты Суксунского городского округа Пермского края» (с 01.01.2021 по 29.09.2021) и от 30.09.2021 № 228 «О назначении на должность председателя Контрольно-счетной палаты Суксунского городского округа Пермского края» (с 30.09.2021 по 31.12.2021).</w:t>
      </w:r>
      <w:proofErr w:type="gramEnd"/>
    </w:p>
    <w:p w:rsidR="00770617" w:rsidRPr="00770617" w:rsidRDefault="00770617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пунктом 10.1 статьи 161 Бюджетного кодекса Российской Федерации, частью 3 статьи 7 Федерального закона от 06.12.2011 № 402-ФЗ «О бухгалтерском учете», Контрольно-счетной палатой заключено с МКУ «ЦБ Су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округа» Соглашение от 13.01.2020 № 11 об оказании услуг по ведению бюджетного, налогового, статистического учета, планирования бю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жетной сметы и составления отчетности.</w:t>
      </w:r>
    </w:p>
    <w:p w:rsidR="00770617" w:rsidRPr="00770617" w:rsidRDefault="00770617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0617">
        <w:rPr>
          <w:rFonts w:ascii="Times New Roman" w:hAnsi="Times New Roman"/>
          <w:sz w:val="28"/>
          <w:szCs w:val="28"/>
        </w:rPr>
        <w:t>Приказом МКУ «ЦБ Суксунского городского округа» от 21.10.2020 № 139 «О назначении ответственных лиц с правом второй подписи в платежных и бу</w:t>
      </w:r>
      <w:r w:rsidRPr="00770617">
        <w:rPr>
          <w:rFonts w:ascii="Times New Roman" w:hAnsi="Times New Roman"/>
          <w:sz w:val="28"/>
          <w:szCs w:val="28"/>
        </w:rPr>
        <w:t>х</w:t>
      </w:r>
      <w:r w:rsidRPr="00770617">
        <w:rPr>
          <w:rFonts w:ascii="Times New Roman" w:hAnsi="Times New Roman"/>
          <w:sz w:val="28"/>
          <w:szCs w:val="28"/>
        </w:rPr>
        <w:t xml:space="preserve">галтерских документах» (в редакции приказа МКУ «ЦБ Суксунского городского округа» от 29.04.2021 № 21) 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обязанности главного бухгалтера по ведению бю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жетного учета </w:t>
      </w:r>
      <w:r w:rsidR="002B2BD8" w:rsidRPr="00770617">
        <w:rPr>
          <w:rFonts w:ascii="Times New Roman" w:hAnsi="Times New Roman"/>
          <w:sz w:val="28"/>
          <w:szCs w:val="28"/>
        </w:rPr>
        <w:t>Контрольно-счетной палаты</w:t>
      </w:r>
      <w:r w:rsidR="002B2BD8" w:rsidRPr="00770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 округа Пер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70617">
        <w:rPr>
          <w:rFonts w:ascii="Times New Roman" w:eastAsia="Times New Roman" w:hAnsi="Times New Roman"/>
          <w:sz w:val="28"/>
          <w:szCs w:val="28"/>
          <w:lang w:eastAsia="ru-RU"/>
        </w:rPr>
        <w:t>ского края возложены на ведущего бухгалтера Щелконогову Наталью Юрьевну.</w:t>
      </w:r>
      <w:proofErr w:type="gramEnd"/>
    </w:p>
    <w:p w:rsidR="00770617" w:rsidRPr="00770617" w:rsidRDefault="00770617" w:rsidP="00FD74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17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770617">
        <w:rPr>
          <w:rFonts w:ascii="Times New Roman" w:hAnsi="Times New Roman"/>
          <w:sz w:val="28"/>
          <w:szCs w:val="28"/>
        </w:rPr>
        <w:t>д</w:t>
      </w:r>
      <w:r w:rsidRPr="00770617">
        <w:rPr>
          <w:rFonts w:ascii="Times New Roman" w:hAnsi="Times New Roman"/>
          <w:sz w:val="28"/>
          <w:szCs w:val="28"/>
        </w:rPr>
        <w:t>писи бюджетной отчетности Контрольно-счетной палаты за 2021 имеют:</w:t>
      </w:r>
    </w:p>
    <w:p w:rsidR="00770617" w:rsidRPr="00770617" w:rsidRDefault="00770617" w:rsidP="00FD74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17">
        <w:rPr>
          <w:rFonts w:ascii="Times New Roman" w:hAnsi="Times New Roman"/>
          <w:sz w:val="28"/>
          <w:szCs w:val="28"/>
        </w:rPr>
        <w:t xml:space="preserve">- председатель Контрольно-счетной палаты Суксунского городского округа </w:t>
      </w:r>
      <w:r w:rsidRPr="00770617">
        <w:rPr>
          <w:rFonts w:ascii="Times New Roman" w:hAnsi="Times New Roman"/>
          <w:sz w:val="28"/>
          <w:szCs w:val="28"/>
        </w:rPr>
        <w:lastRenderedPageBreak/>
        <w:t>Пермского края Туголукова Ольга Геннадьевна;</w:t>
      </w:r>
    </w:p>
    <w:p w:rsidR="00770617" w:rsidRPr="00770617" w:rsidRDefault="00770617" w:rsidP="00FD74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17">
        <w:rPr>
          <w:rFonts w:ascii="Times New Roman" w:hAnsi="Times New Roman"/>
          <w:sz w:val="28"/>
          <w:szCs w:val="28"/>
        </w:rPr>
        <w:t>- руководитель МКУ «ЦБ Суксунского городского округа» Никитина Лю</w:t>
      </w:r>
      <w:r w:rsidRPr="00770617">
        <w:rPr>
          <w:rFonts w:ascii="Times New Roman" w:hAnsi="Times New Roman"/>
          <w:sz w:val="28"/>
          <w:szCs w:val="28"/>
        </w:rPr>
        <w:t>д</w:t>
      </w:r>
      <w:r w:rsidRPr="00770617">
        <w:rPr>
          <w:rFonts w:ascii="Times New Roman" w:hAnsi="Times New Roman"/>
          <w:sz w:val="28"/>
          <w:szCs w:val="28"/>
        </w:rPr>
        <w:t>мила Ивановна;</w:t>
      </w:r>
    </w:p>
    <w:p w:rsidR="00770617" w:rsidRPr="00770617" w:rsidRDefault="00770617" w:rsidP="00FD74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17">
        <w:rPr>
          <w:rFonts w:ascii="Times New Roman" w:hAnsi="Times New Roman"/>
          <w:sz w:val="28"/>
          <w:szCs w:val="28"/>
        </w:rPr>
        <w:t>- ведущий бухгалтер МКУ «ЦБ Суксунского городского округа» Щелкон</w:t>
      </w:r>
      <w:r w:rsidRPr="00770617">
        <w:rPr>
          <w:rFonts w:ascii="Times New Roman" w:hAnsi="Times New Roman"/>
          <w:sz w:val="28"/>
          <w:szCs w:val="28"/>
        </w:rPr>
        <w:t>о</w:t>
      </w:r>
      <w:r w:rsidRPr="00770617">
        <w:rPr>
          <w:rFonts w:ascii="Times New Roman" w:hAnsi="Times New Roman"/>
          <w:sz w:val="28"/>
          <w:szCs w:val="28"/>
        </w:rPr>
        <w:t>гова Наталья Юрьевна, на которую возложены обязанности главного бухгалтера по ведению бюджетного учета Контрольно-счетной палаты Суксунского горо</w:t>
      </w:r>
      <w:r w:rsidRPr="00770617">
        <w:rPr>
          <w:rFonts w:ascii="Times New Roman" w:hAnsi="Times New Roman"/>
          <w:sz w:val="28"/>
          <w:szCs w:val="28"/>
        </w:rPr>
        <w:t>д</w:t>
      </w:r>
      <w:r w:rsidRPr="00770617">
        <w:rPr>
          <w:rFonts w:ascii="Times New Roman" w:hAnsi="Times New Roman"/>
          <w:sz w:val="28"/>
          <w:szCs w:val="28"/>
        </w:rPr>
        <w:t>ского округа Пермского края.</w:t>
      </w:r>
    </w:p>
    <w:p w:rsidR="00233452" w:rsidRPr="00945101" w:rsidRDefault="00233452" w:rsidP="00FD74CC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FD74CC" w:rsidRDefault="00FD74CC" w:rsidP="00FD74CC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FD7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FD7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5C4C09" w:rsidRDefault="00C3263D" w:rsidP="00FD74CC">
      <w:pPr>
        <w:pStyle w:val="a7"/>
        <w:widowControl w:val="0"/>
        <w:spacing w:after="0" w:line="24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E4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в</w:t>
      </w:r>
      <w:r w:rsidRPr="00C178E4">
        <w:rPr>
          <w:rFonts w:ascii="Times New Roman" w:eastAsiaTheme="minorHAnsi" w:hAnsi="Times New Roman"/>
          <w:sz w:val="28"/>
          <w:szCs w:val="28"/>
        </w:rPr>
        <w:t xml:space="preserve"> соответствии с решением Думы Суксунского городского округа от 17.12.2020 № 168 «О бюджете Суксунского городского округа на 2021 год и на плановый период 2022 и 2023 годов» (далее – Решение о бюджете) </w:t>
      </w:r>
      <w:r w:rsidRPr="00C178E4">
        <w:rPr>
          <w:rFonts w:ascii="Times New Roman" w:eastAsia="Times New Roman" w:hAnsi="Times New Roman"/>
          <w:sz w:val="28"/>
          <w:szCs w:val="28"/>
          <w:lang w:eastAsia="ru-RU"/>
        </w:rPr>
        <w:t>осуществляет бюджетные полномочия главного распорядителя бю</w:t>
      </w:r>
      <w:r w:rsidRPr="00C178E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178E4">
        <w:rPr>
          <w:rFonts w:ascii="Times New Roman" w:eastAsia="Times New Roman" w:hAnsi="Times New Roman"/>
          <w:sz w:val="28"/>
          <w:szCs w:val="28"/>
          <w:lang w:eastAsia="ru-RU"/>
        </w:rPr>
        <w:t>жетных средств, главного администратора доходов бюджета.</w:t>
      </w: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E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Контрольно-счетной палаты за 2021 год сформирована единым комплектом по совокупности выполняемых Контрольно-счетной палатой полномочий.</w:t>
      </w: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78E4">
        <w:rPr>
          <w:rFonts w:ascii="Times New Roman" w:eastAsiaTheme="minorHAnsi" w:hAnsi="Times New Roman"/>
          <w:sz w:val="28"/>
          <w:szCs w:val="28"/>
        </w:rPr>
        <w:t>Годовая бюджетная отчетность Контрольно-счетной палаты за 2021 год представлена в составе, предусмотренном подпунктом 11.1 пункта 11</w:t>
      </w:r>
      <w:r w:rsidRPr="00C178E4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C178E4">
        <w:rPr>
          <w:rFonts w:ascii="Times New Roman" w:eastAsiaTheme="minorHAnsi" w:hAnsi="Times New Roman"/>
          <w:sz w:val="28"/>
          <w:szCs w:val="28"/>
        </w:rPr>
        <w:t>Инструкции № 191н:</w:t>
      </w: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78E4">
        <w:rPr>
          <w:rFonts w:ascii="Times New Roman" w:eastAsiaTheme="minorHAnsi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78E4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(ф. 0503125);</w:t>
      </w: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78E4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78E4">
        <w:rPr>
          <w:rFonts w:ascii="Times New Roman" w:eastAsiaTheme="minorHAnsi" w:hAnsi="Times New Roman"/>
          <w:sz w:val="28"/>
          <w:szCs w:val="28"/>
        </w:rPr>
        <w:t>- отчет об исполнении бюджета главного распорядителя, распорядителя, п</w:t>
      </w:r>
      <w:r w:rsidRPr="00C178E4">
        <w:rPr>
          <w:rFonts w:ascii="Times New Roman" w:eastAsiaTheme="minorHAnsi" w:hAnsi="Times New Roman"/>
          <w:sz w:val="28"/>
          <w:szCs w:val="28"/>
        </w:rPr>
        <w:t>о</w:t>
      </w:r>
      <w:r w:rsidRPr="00C178E4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C178E4">
        <w:rPr>
          <w:rFonts w:ascii="Times New Roman" w:eastAsiaTheme="minorHAnsi" w:hAnsi="Times New Roman"/>
          <w:sz w:val="28"/>
          <w:szCs w:val="28"/>
        </w:rPr>
        <w:t>и</w:t>
      </w:r>
      <w:r w:rsidRPr="00C178E4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78E4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 0503128);</w:t>
      </w: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78E4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(ф. 0503121);</w:t>
      </w: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78E4">
        <w:rPr>
          <w:rFonts w:ascii="Times New Roman" w:eastAsiaTheme="minorHAnsi" w:hAnsi="Times New Roman"/>
          <w:sz w:val="28"/>
          <w:szCs w:val="28"/>
        </w:rPr>
        <w:t>- отчет о движении денежных средств (ф. 0503123);</w:t>
      </w: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78E4">
        <w:rPr>
          <w:rFonts w:ascii="Times New Roman" w:eastAsiaTheme="minorHAnsi" w:hAnsi="Times New Roman"/>
          <w:sz w:val="28"/>
          <w:szCs w:val="28"/>
        </w:rPr>
        <w:t>- пояснительная записка в составе:</w:t>
      </w: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78E4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78E4">
        <w:rPr>
          <w:rFonts w:ascii="Times New Roman" w:eastAsiaTheme="minorHAnsi" w:hAnsi="Times New Roman" w:cstheme="minorBidi"/>
          <w:sz w:val="28"/>
          <w:szCs w:val="28"/>
        </w:rPr>
        <w:t>сведений об исполнении текстовых статей закона (решения) о бюджете</w:t>
      </w:r>
      <w:r w:rsidRPr="00C178E4">
        <w:rPr>
          <w:rFonts w:ascii="Times New Roman" w:eastAsiaTheme="minorHAnsi" w:hAnsi="Times New Roman"/>
          <w:sz w:val="28"/>
          <w:szCs w:val="28"/>
        </w:rPr>
        <w:t xml:space="preserve"> (Таблица № 3)</w:t>
      </w: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E4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E4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E4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C178E4" w:rsidRPr="00C178E4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E4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4B6BBA" w:rsidRPr="00700586" w:rsidRDefault="00C178E4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78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сведений об изменении остатков валюты баланса </w:t>
      </w:r>
      <w:hyperlink r:id="rId9" w:history="1">
        <w:r w:rsidRPr="00C178E4">
          <w:rPr>
            <w:rFonts w:ascii="Times New Roman" w:eastAsia="Times New Roman" w:hAnsi="Times New Roman"/>
            <w:sz w:val="28"/>
            <w:szCs w:val="28"/>
            <w:lang w:eastAsia="ru-RU"/>
          </w:rPr>
          <w:t>(ф. 0503173)</w:t>
        </w:r>
      </w:hyperlink>
      <w:r w:rsidRPr="00C178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74CC" w:rsidRDefault="00FD74CC" w:rsidP="00FD74CC">
      <w:pPr>
        <w:pStyle w:val="a7"/>
        <w:widowControl w:val="0"/>
        <w:spacing w:after="0" w:line="24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64AB" w:rsidRPr="00221C92" w:rsidRDefault="00221C92" w:rsidP="00FD74CC">
      <w:pPr>
        <w:pStyle w:val="a7"/>
        <w:widowControl w:val="0"/>
        <w:spacing w:after="0" w:line="24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CB64AB" w:rsidRPr="00221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 Суксунского городского округа, администрируемые Контрольно-счетной палатой Суксунского городского округа Пермского края</w:t>
      </w:r>
    </w:p>
    <w:p w:rsidR="00CB64AB" w:rsidRPr="00CB64AB" w:rsidRDefault="00CB64AB" w:rsidP="00FD74CC">
      <w:pPr>
        <w:pStyle w:val="a7"/>
        <w:widowControl w:val="0"/>
        <w:spacing w:after="0" w:line="24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1E4F" w:rsidRPr="00051E4F" w:rsidRDefault="00051E4F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E4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о бюджете за Контрольно-счетной палатой з</w:t>
      </w:r>
      <w:r w:rsidRPr="00051E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51E4F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2021 год в сумме 54 200,00 руб., что подтверждае</w:t>
      </w:r>
      <w:r w:rsidRPr="00051E4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51E4F">
        <w:rPr>
          <w:rFonts w:ascii="Times New Roman" w:eastAsia="Times New Roman" w:hAnsi="Times New Roman"/>
          <w:sz w:val="28"/>
          <w:szCs w:val="28"/>
          <w:lang w:eastAsia="ru-RU"/>
        </w:rPr>
        <w:t>ся Бюджетной росписью доходов Суксунского городского округа на 2021 год и плановый период 2021 и 2022 годов.</w:t>
      </w:r>
    </w:p>
    <w:p w:rsidR="00051E4F" w:rsidRPr="00051E4F" w:rsidRDefault="00051E4F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1E4F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051E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51E4F">
        <w:rPr>
          <w:rFonts w:ascii="Times New Roman" w:eastAsia="Times New Roman" w:hAnsi="Times New Roman"/>
          <w:sz w:val="28"/>
          <w:szCs w:val="28"/>
          <w:lang w:eastAsia="ru-RU"/>
        </w:rPr>
        <w:t>ра, администратора источников финансирования дефицита бюджета, главного а</w:t>
      </w:r>
      <w:r w:rsidRPr="00051E4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51E4F">
        <w:rPr>
          <w:rFonts w:ascii="Times New Roman" w:eastAsia="Times New Roman" w:hAnsi="Times New Roman"/>
          <w:sz w:val="28"/>
          <w:szCs w:val="28"/>
          <w:lang w:eastAsia="ru-RU"/>
        </w:rPr>
        <w:t>министратора, администратора доходов бюджета (ф. 0503127) (далее – Отчет об исполнении бюджета (ф. 0503127)) фактическое исполнение по доходам за 2021 год составило 61 886,46 руб., или 114,18% от утвержденных бюджетных назнач</w:t>
      </w:r>
      <w:r w:rsidRPr="00051E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51E4F">
        <w:rPr>
          <w:rFonts w:ascii="Times New Roman" w:eastAsia="Times New Roman" w:hAnsi="Times New Roman"/>
          <w:sz w:val="28"/>
          <w:szCs w:val="28"/>
          <w:lang w:eastAsia="ru-RU"/>
        </w:rPr>
        <w:t>ний:</w:t>
      </w:r>
      <w:proofErr w:type="gramEnd"/>
    </w:p>
    <w:p w:rsidR="00051E4F" w:rsidRPr="00051E4F" w:rsidRDefault="00051E4F" w:rsidP="00FD74CC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71"/>
        <w:gridCol w:w="1558"/>
        <w:gridCol w:w="1558"/>
        <w:gridCol w:w="1276"/>
        <w:gridCol w:w="992"/>
      </w:tblGrid>
      <w:tr w:rsidR="00051E4F" w:rsidRPr="00051E4F" w:rsidTr="002573E4">
        <w:trPr>
          <w:tblHeader/>
        </w:trPr>
        <w:tc>
          <w:tcPr>
            <w:tcW w:w="286" w:type="pct"/>
          </w:tcPr>
          <w:p w:rsidR="00051E4F" w:rsidRPr="00051E4F" w:rsidRDefault="00051E4F" w:rsidP="00051E4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1" w:type="pct"/>
          </w:tcPr>
          <w:p w:rsidR="00051E4F" w:rsidRPr="00051E4F" w:rsidRDefault="00051E4F" w:rsidP="00051E4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785" w:type="pct"/>
          </w:tcPr>
          <w:p w:rsidR="00051E4F" w:rsidRPr="00051E4F" w:rsidRDefault="00051E4F" w:rsidP="00051E4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</w:t>
            </w: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жденные бюджетные назначения, руб.</w:t>
            </w:r>
          </w:p>
        </w:tc>
        <w:tc>
          <w:tcPr>
            <w:tcW w:w="785" w:type="pct"/>
          </w:tcPr>
          <w:p w:rsidR="00051E4F" w:rsidRPr="00051E4F" w:rsidRDefault="00051E4F" w:rsidP="00051E4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643" w:type="pct"/>
          </w:tcPr>
          <w:p w:rsidR="00051E4F" w:rsidRPr="00051E4F" w:rsidRDefault="00051E4F" w:rsidP="00051E4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</w:t>
            </w: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полне</w:t>
            </w: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бюдже</w:t>
            </w: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назнач</w:t>
            </w: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ния,</w:t>
            </w:r>
          </w:p>
          <w:p w:rsidR="00051E4F" w:rsidRPr="00051E4F" w:rsidRDefault="00051E4F" w:rsidP="00051E4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00" w:type="pct"/>
          </w:tcPr>
          <w:p w:rsidR="00051E4F" w:rsidRPr="00051E4F" w:rsidRDefault="00051E4F" w:rsidP="00051E4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 и</w:t>
            </w: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нения, %</w:t>
            </w:r>
          </w:p>
        </w:tc>
      </w:tr>
      <w:tr w:rsidR="00051E4F" w:rsidRPr="00051E4F" w:rsidTr="002573E4">
        <w:trPr>
          <w:tblHeader/>
        </w:trPr>
        <w:tc>
          <w:tcPr>
            <w:tcW w:w="286" w:type="pct"/>
          </w:tcPr>
          <w:p w:rsidR="00051E4F" w:rsidRPr="00051E4F" w:rsidRDefault="00051E4F" w:rsidP="00051E4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pct"/>
          </w:tcPr>
          <w:p w:rsidR="00051E4F" w:rsidRPr="00051E4F" w:rsidRDefault="00051E4F" w:rsidP="00051E4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pct"/>
          </w:tcPr>
          <w:p w:rsidR="00051E4F" w:rsidRPr="00051E4F" w:rsidRDefault="00051E4F" w:rsidP="00051E4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" w:type="pct"/>
          </w:tcPr>
          <w:p w:rsidR="00051E4F" w:rsidRPr="00051E4F" w:rsidRDefault="00051E4F" w:rsidP="00051E4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pct"/>
          </w:tcPr>
          <w:p w:rsidR="00051E4F" w:rsidRPr="00051E4F" w:rsidRDefault="00051E4F" w:rsidP="00051E4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</w:tcPr>
          <w:p w:rsidR="00051E4F" w:rsidRPr="00051E4F" w:rsidRDefault="00051E4F" w:rsidP="00051E4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051E4F" w:rsidRPr="00051E4F" w:rsidTr="002573E4">
        <w:tc>
          <w:tcPr>
            <w:tcW w:w="286" w:type="pct"/>
          </w:tcPr>
          <w:p w:rsidR="00051E4F" w:rsidRPr="00051E4F" w:rsidRDefault="00051E4F" w:rsidP="00051E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pct"/>
          </w:tcPr>
          <w:p w:rsidR="00051E4F" w:rsidRPr="00E62647" w:rsidRDefault="00051E4F" w:rsidP="00051E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новленные Главой 15 Кодекса Ро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сийской Федерации об администр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тивных правонарушениях, за адм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нистративные правонарушения в области финансов, связанные с нецелевым использованием бю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жетных средств, невозвратом либо несвоевременным возвратом бю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жетного кредита, не перечислением либо несвоевременным перечисл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нием платы за пользование бю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 кредитом, нарушением условий предоставления бюджетн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кредита, нарушением порядка и (или) условий предоставления (ра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ходования) межбюджетных тран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фертов, нарушением условий предоставления бюджетных инв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стиций, субсидий юридическим</w:t>
            </w:r>
            <w:proofErr w:type="gramEnd"/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цам, индивидуальным предприн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мателям и физическим лицам, по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лежащие зачислению в бюджет м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2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785" w:type="pct"/>
          </w:tcPr>
          <w:p w:rsidR="00051E4F" w:rsidRPr="00051E4F" w:rsidRDefault="00051E4F" w:rsidP="00051E4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</w:t>
            </w:r>
          </w:p>
        </w:tc>
        <w:tc>
          <w:tcPr>
            <w:tcW w:w="785" w:type="pct"/>
          </w:tcPr>
          <w:p w:rsidR="00051E4F" w:rsidRPr="00051E4F" w:rsidRDefault="00051E4F" w:rsidP="00051E4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643" w:type="pct"/>
          </w:tcPr>
          <w:p w:rsidR="00051E4F" w:rsidRPr="00051E4F" w:rsidRDefault="00051E4F" w:rsidP="00051E4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0" w:type="pct"/>
          </w:tcPr>
          <w:p w:rsidR="00051E4F" w:rsidRPr="00051E4F" w:rsidRDefault="00051E4F" w:rsidP="00051E4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1E4F" w:rsidRPr="00051E4F" w:rsidTr="002573E4">
        <w:tc>
          <w:tcPr>
            <w:tcW w:w="286" w:type="pct"/>
          </w:tcPr>
          <w:p w:rsidR="00051E4F" w:rsidRPr="00051E4F" w:rsidRDefault="00051E4F" w:rsidP="00051E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pct"/>
          </w:tcPr>
          <w:p w:rsidR="00051E4F" w:rsidRPr="00E62647" w:rsidRDefault="00051E4F" w:rsidP="00051E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</w:t>
            </w:r>
            <w:r w:rsidRPr="00E62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результате незаконного или нец</w:t>
            </w:r>
            <w:r w:rsidRPr="00E62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2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левого использования бюджетных средств (в части бюджетов горо</w:t>
            </w:r>
            <w:r w:rsidRPr="00E62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62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785" w:type="pct"/>
          </w:tcPr>
          <w:p w:rsidR="00051E4F" w:rsidRPr="00051E4F" w:rsidRDefault="00051E4F" w:rsidP="00051E4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14 200,00</w:t>
            </w:r>
          </w:p>
        </w:tc>
        <w:tc>
          <w:tcPr>
            <w:tcW w:w="785" w:type="pct"/>
          </w:tcPr>
          <w:p w:rsidR="00051E4F" w:rsidRPr="00051E4F" w:rsidRDefault="00051E4F" w:rsidP="00051E4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21 886,46</w:t>
            </w:r>
          </w:p>
        </w:tc>
        <w:tc>
          <w:tcPr>
            <w:tcW w:w="643" w:type="pct"/>
          </w:tcPr>
          <w:p w:rsidR="00051E4F" w:rsidRPr="00051E4F" w:rsidRDefault="00051E4F" w:rsidP="00051E4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</w:tcPr>
          <w:p w:rsidR="00051E4F" w:rsidRPr="00051E4F" w:rsidRDefault="00051E4F" w:rsidP="00051E4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154,13</w:t>
            </w:r>
          </w:p>
        </w:tc>
      </w:tr>
      <w:tr w:rsidR="00051E4F" w:rsidRPr="00051E4F" w:rsidTr="002573E4">
        <w:tc>
          <w:tcPr>
            <w:tcW w:w="286" w:type="pct"/>
          </w:tcPr>
          <w:p w:rsidR="00051E4F" w:rsidRPr="00051E4F" w:rsidRDefault="00051E4F" w:rsidP="00051E4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</w:tcPr>
          <w:p w:rsidR="00051E4F" w:rsidRPr="00051E4F" w:rsidRDefault="00051E4F" w:rsidP="00051E4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pct"/>
          </w:tcPr>
          <w:p w:rsidR="00051E4F" w:rsidRPr="00051E4F" w:rsidRDefault="00051E4F" w:rsidP="00051E4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54 200,00</w:t>
            </w:r>
          </w:p>
        </w:tc>
        <w:tc>
          <w:tcPr>
            <w:tcW w:w="785" w:type="pct"/>
          </w:tcPr>
          <w:p w:rsidR="00051E4F" w:rsidRPr="00051E4F" w:rsidRDefault="00051E4F" w:rsidP="00051E4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61 886,46</w:t>
            </w:r>
          </w:p>
        </w:tc>
        <w:tc>
          <w:tcPr>
            <w:tcW w:w="643" w:type="pct"/>
          </w:tcPr>
          <w:p w:rsidR="00051E4F" w:rsidRPr="00051E4F" w:rsidRDefault="00051E4F" w:rsidP="00051E4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</w:tcPr>
          <w:p w:rsidR="00051E4F" w:rsidRPr="00051E4F" w:rsidRDefault="00051E4F" w:rsidP="00051E4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1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114,18</w:t>
            </w:r>
          </w:p>
        </w:tc>
      </w:tr>
    </w:tbl>
    <w:p w:rsidR="00976B0E" w:rsidRDefault="00976B0E" w:rsidP="00FD74CC">
      <w:pPr>
        <w:pStyle w:val="a7"/>
        <w:widowControl w:val="0"/>
        <w:spacing w:after="0" w:line="2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7953" w:rsidRPr="00FD74CC" w:rsidRDefault="00FD74CC" w:rsidP="00FD74CC">
      <w:pPr>
        <w:spacing w:after="0" w:line="240" w:lineRule="exac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D7953" w:rsidRPr="00FD74CC">
        <w:rPr>
          <w:rFonts w:ascii="Times New Roman" w:hAnsi="Times New Roman"/>
          <w:b/>
          <w:bCs/>
          <w:sz w:val="28"/>
          <w:szCs w:val="28"/>
        </w:rPr>
        <w:t>Расходы бюджета Суксунского городского округа по Контрольно-счетной палате Суксунского городского округа Пермского края</w:t>
      </w:r>
    </w:p>
    <w:p w:rsidR="00DD7953" w:rsidRPr="00DD7953" w:rsidRDefault="00DD7953" w:rsidP="00FD74CC">
      <w:pPr>
        <w:pStyle w:val="a7"/>
        <w:spacing w:after="0" w:line="24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65F8" w:rsidRPr="000D65F8" w:rsidRDefault="000D65F8" w:rsidP="00FD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F8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Суксунского городского округа в 2021 году в соответствии с Решением о</w:t>
      </w:r>
      <w:r w:rsidRPr="000D65F8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0D65F8">
        <w:rPr>
          <w:rFonts w:ascii="Times New Roman" w:eastAsia="Times New Roman" w:hAnsi="Times New Roman"/>
          <w:sz w:val="28"/>
          <w:szCs w:val="28"/>
          <w:lang w:eastAsia="ru-RU"/>
        </w:rPr>
        <w:t>являлась главным распорядителем бюдже</w:t>
      </w:r>
      <w:r w:rsidRPr="000D65F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D65F8">
        <w:rPr>
          <w:rFonts w:ascii="Times New Roman" w:eastAsia="Times New Roman" w:hAnsi="Times New Roman"/>
          <w:sz w:val="28"/>
          <w:szCs w:val="28"/>
          <w:lang w:eastAsia="ru-RU"/>
        </w:rPr>
        <w:t>ных средств по разделу классификации расходов бюджета 0100 «Общегосуда</w:t>
      </w:r>
      <w:r w:rsidRPr="000D65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D65F8">
        <w:rPr>
          <w:rFonts w:ascii="Times New Roman" w:eastAsia="Times New Roman" w:hAnsi="Times New Roman"/>
          <w:sz w:val="28"/>
          <w:szCs w:val="28"/>
          <w:lang w:eastAsia="ru-RU"/>
        </w:rPr>
        <w:t>ственные вопросы» в сумме 1 630,40 тыс. руб.</w:t>
      </w:r>
    </w:p>
    <w:p w:rsidR="000D65F8" w:rsidRPr="000D65F8" w:rsidRDefault="000D65F8" w:rsidP="00FD7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F8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0D65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D65F8">
        <w:rPr>
          <w:rFonts w:ascii="Times New Roman" w:eastAsia="Times New Roman" w:hAnsi="Times New Roman"/>
          <w:sz w:val="28"/>
          <w:szCs w:val="28"/>
          <w:lang w:eastAsia="ru-RU"/>
        </w:rPr>
        <w:t>ра, администратора источников финансирования дефицита бюджета, главного а</w:t>
      </w:r>
      <w:r w:rsidRPr="000D65F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D65F8">
        <w:rPr>
          <w:rFonts w:ascii="Times New Roman" w:eastAsia="Times New Roman" w:hAnsi="Times New Roman"/>
          <w:sz w:val="28"/>
          <w:szCs w:val="28"/>
          <w:lang w:eastAsia="ru-RU"/>
        </w:rPr>
        <w:t>министратора, администратора доходов бюджета (ф. 0503127) фактическое и</w:t>
      </w:r>
      <w:r w:rsidRPr="000D65F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D65F8">
        <w:rPr>
          <w:rFonts w:ascii="Times New Roman" w:eastAsia="Times New Roman" w:hAnsi="Times New Roman"/>
          <w:sz w:val="28"/>
          <w:szCs w:val="28"/>
          <w:lang w:eastAsia="ru-RU"/>
        </w:rPr>
        <w:t>полнение по расходам за 2021 год составило 1 621,70 тыс. руб.</w:t>
      </w:r>
    </w:p>
    <w:p w:rsidR="000D65F8" w:rsidRPr="000D65F8" w:rsidRDefault="000D65F8" w:rsidP="00FD74CC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2126"/>
        <w:gridCol w:w="1701"/>
        <w:gridCol w:w="1417"/>
        <w:gridCol w:w="1985"/>
      </w:tblGrid>
      <w:tr w:rsidR="000D65F8" w:rsidRPr="000D65F8" w:rsidTr="002573E4">
        <w:trPr>
          <w:trHeight w:val="248"/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5F8" w:rsidRPr="000D65F8" w:rsidRDefault="000D65F8" w:rsidP="000D65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статей</w:t>
            </w:r>
          </w:p>
          <w:p w:rsidR="000D65F8" w:rsidRPr="000D65F8" w:rsidRDefault="000D65F8" w:rsidP="000D65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5F8" w:rsidRPr="000D65F8" w:rsidRDefault="000D65F8" w:rsidP="000D65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Уточненные</w:t>
            </w:r>
          </w:p>
          <w:p w:rsidR="000D65F8" w:rsidRPr="000D65F8" w:rsidRDefault="000D65F8" w:rsidP="000D65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</w:t>
            </w: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чения</w:t>
            </w:r>
          </w:p>
          <w:p w:rsidR="000D65F8" w:rsidRPr="000D65F8" w:rsidRDefault="000D65F8" w:rsidP="000D65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2021 год,</w:t>
            </w:r>
          </w:p>
          <w:p w:rsidR="000D65F8" w:rsidRPr="000D65F8" w:rsidRDefault="000D65F8" w:rsidP="000D65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  <w:p w:rsidR="000D65F8" w:rsidRPr="000D65F8" w:rsidRDefault="000D65F8" w:rsidP="000D65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5F8" w:rsidRPr="000D65F8" w:rsidRDefault="000D65F8" w:rsidP="000D65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D65F8" w:rsidRPr="000D65F8" w:rsidRDefault="000D65F8" w:rsidP="000D65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2021 году,</w:t>
            </w:r>
          </w:p>
          <w:p w:rsidR="000D65F8" w:rsidRPr="000D65F8" w:rsidRDefault="000D65F8" w:rsidP="000D65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5F8" w:rsidRPr="000D65F8" w:rsidRDefault="000D65F8" w:rsidP="000D65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Отклонения от </w:t>
            </w:r>
            <w:proofErr w:type="gramStart"/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уточне</w:t>
            </w: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</w:t>
            </w:r>
            <w:proofErr w:type="gramEnd"/>
          </w:p>
          <w:p w:rsidR="000D65F8" w:rsidRPr="000D65F8" w:rsidRDefault="000D65F8" w:rsidP="000D65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бюджетных назначений,</w:t>
            </w:r>
          </w:p>
          <w:p w:rsidR="000D65F8" w:rsidRPr="000D65F8" w:rsidRDefault="000D65F8" w:rsidP="000D65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5F8" w:rsidRPr="000D65F8" w:rsidRDefault="000D65F8" w:rsidP="000D65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 уточненных пл</w:t>
            </w: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новых назнач</w:t>
            </w: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D6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ний, %</w:t>
            </w:r>
          </w:p>
        </w:tc>
      </w:tr>
      <w:tr w:rsidR="000D65F8" w:rsidRPr="000D65F8" w:rsidTr="002573E4">
        <w:trPr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65F8" w:rsidRPr="000D65F8" w:rsidRDefault="000D65F8" w:rsidP="000D6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5F8" w:rsidRPr="000D65F8" w:rsidRDefault="000D65F8" w:rsidP="000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5F8" w:rsidRPr="000D65F8" w:rsidRDefault="000D65F8" w:rsidP="000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5F8" w:rsidRPr="000D65F8" w:rsidRDefault="000D65F8" w:rsidP="000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5F8" w:rsidRPr="000D65F8" w:rsidRDefault="000D65F8" w:rsidP="000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D65F8" w:rsidRPr="000D65F8" w:rsidTr="002573E4">
        <w:trPr>
          <w:trHeight w:val="27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65F8" w:rsidRPr="000D65F8" w:rsidRDefault="000D65F8" w:rsidP="000D6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5F8" w:rsidRPr="000D65F8" w:rsidRDefault="000D65F8" w:rsidP="000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1 630,4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5F8" w:rsidRPr="000D65F8" w:rsidRDefault="000D65F8" w:rsidP="000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1 621,70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5F8" w:rsidRPr="000D65F8" w:rsidRDefault="000D65F8" w:rsidP="000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5F8" w:rsidRPr="000D65F8" w:rsidRDefault="000D65F8" w:rsidP="000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99,47</w:t>
            </w:r>
          </w:p>
        </w:tc>
      </w:tr>
    </w:tbl>
    <w:p w:rsidR="000D65F8" w:rsidRPr="000D65F8" w:rsidRDefault="000D65F8" w:rsidP="00FD74C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5F8" w:rsidRPr="000D65F8" w:rsidRDefault="000D65F8" w:rsidP="000D65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F8">
        <w:rPr>
          <w:rFonts w:ascii="Times New Roman" w:eastAsia="Times New Roman" w:hAnsi="Times New Roman"/>
          <w:sz w:val="28"/>
          <w:szCs w:val="28"/>
          <w:lang w:eastAsia="ru-RU"/>
        </w:rPr>
        <w:t>Неисполненные назначения за 2021 год составили 8,70 тыс. руб. Выполн</w:t>
      </w:r>
      <w:r w:rsidRPr="000D65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65F8">
        <w:rPr>
          <w:rFonts w:ascii="Times New Roman" w:eastAsia="Times New Roman" w:hAnsi="Times New Roman"/>
          <w:sz w:val="28"/>
          <w:szCs w:val="28"/>
          <w:lang w:eastAsia="ru-RU"/>
        </w:rPr>
        <w:t>ние составило 99,47% уточненных бюджетных назначений на 2021 год.</w:t>
      </w:r>
    </w:p>
    <w:p w:rsidR="001D1470" w:rsidRPr="001D1470" w:rsidRDefault="001D1470" w:rsidP="00E62647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8D" w:rsidRPr="00E62647" w:rsidRDefault="00E62647" w:rsidP="00E62647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="00F85B2F" w:rsidRPr="00E626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степени полноты бюджетной отчетности главного админ</w:t>
      </w:r>
      <w:r w:rsidR="00F85B2F" w:rsidRPr="00E626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E626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E626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E626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5098D" w:rsidRPr="0065098D" w:rsidRDefault="0065098D" w:rsidP="00E62647">
      <w:pPr>
        <w:pStyle w:val="a7"/>
        <w:widowControl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52DAC">
        <w:rPr>
          <w:rFonts w:ascii="Times New Roman" w:eastAsiaTheme="minorHAnsi" w:hAnsi="Times New Roman"/>
          <w:sz w:val="28"/>
          <w:szCs w:val="28"/>
        </w:rPr>
        <w:t>Годовая бюджетная отчетность за 2021 год составлена в соответствии с тр</w:t>
      </w:r>
      <w:r w:rsidRPr="00F52DAC">
        <w:rPr>
          <w:rFonts w:ascii="Times New Roman" w:eastAsiaTheme="minorHAnsi" w:hAnsi="Times New Roman"/>
          <w:sz w:val="28"/>
          <w:szCs w:val="28"/>
        </w:rPr>
        <w:t>е</w:t>
      </w:r>
      <w:r w:rsidRPr="00F52DAC">
        <w:rPr>
          <w:rFonts w:ascii="Times New Roman" w:eastAsiaTheme="minorHAnsi" w:hAnsi="Times New Roman"/>
          <w:sz w:val="28"/>
          <w:szCs w:val="28"/>
        </w:rPr>
        <w:t>бованиями Инструкции № 191н в сроки, установленные приказом Финансового управления Администрации Суксунского городского округа Пермского края от 16.12.2021 № 44 «Об утверждении графика предоставления и сдачи ГРБС годовой бюджетной отчетности об исполнении бюджета Суксунского городского округа Пермского края и сводной бухгалтерской отчетности бюджетных и автономных учреждений за 2021 год».</w:t>
      </w:r>
      <w:proofErr w:type="gramEnd"/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AC">
        <w:rPr>
          <w:rFonts w:ascii="Times New Roman" w:eastAsiaTheme="minorHAnsi" w:hAnsi="Times New Roman"/>
          <w:sz w:val="28"/>
          <w:szCs w:val="28"/>
        </w:rPr>
        <w:t xml:space="preserve">Контрольно-счетной палате установлена дата представления и сдачи отчета </w:t>
      </w:r>
      <w:r w:rsidRPr="00F52DAC">
        <w:rPr>
          <w:rFonts w:ascii="Times New Roman" w:eastAsiaTheme="minorHAnsi" w:hAnsi="Times New Roman"/>
          <w:sz w:val="28"/>
          <w:szCs w:val="28"/>
        </w:rPr>
        <w:lastRenderedPageBreak/>
        <w:t>– 13.01.2022.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AC">
        <w:rPr>
          <w:rFonts w:ascii="Times New Roman" w:eastAsiaTheme="minorHAnsi" w:hAnsi="Times New Roman"/>
          <w:sz w:val="28"/>
          <w:szCs w:val="28"/>
        </w:rPr>
        <w:t>Сроки предоставления отчетности соблюдены.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AC">
        <w:rPr>
          <w:rFonts w:ascii="Times New Roman" w:eastAsiaTheme="minorHAnsi" w:hAnsi="Times New Roman"/>
          <w:sz w:val="28"/>
          <w:szCs w:val="28"/>
        </w:rPr>
        <w:t>В соответствии с пунктом 6 Инструкции № 191н предоставленная бюдже</w:t>
      </w:r>
      <w:r w:rsidRPr="00F52DAC">
        <w:rPr>
          <w:rFonts w:ascii="Times New Roman" w:eastAsiaTheme="minorHAnsi" w:hAnsi="Times New Roman"/>
          <w:sz w:val="28"/>
          <w:szCs w:val="28"/>
        </w:rPr>
        <w:t>т</w:t>
      </w:r>
      <w:r w:rsidRPr="00F52DAC">
        <w:rPr>
          <w:rFonts w:ascii="Times New Roman" w:eastAsiaTheme="minorHAnsi" w:hAnsi="Times New Roman"/>
          <w:sz w:val="28"/>
          <w:szCs w:val="28"/>
        </w:rPr>
        <w:t>ная отчетность подписана: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DAC">
        <w:rPr>
          <w:rFonts w:ascii="Times New Roman" w:hAnsi="Times New Roman"/>
          <w:sz w:val="28"/>
          <w:szCs w:val="28"/>
        </w:rPr>
        <w:t>- председателем Контрольно-счетной палаты Суксунского городского окр</w:t>
      </w:r>
      <w:r w:rsidRPr="00F52DAC">
        <w:rPr>
          <w:rFonts w:ascii="Times New Roman" w:hAnsi="Times New Roman"/>
          <w:sz w:val="28"/>
          <w:szCs w:val="28"/>
        </w:rPr>
        <w:t>у</w:t>
      </w:r>
      <w:r w:rsidRPr="00F52DAC">
        <w:rPr>
          <w:rFonts w:ascii="Times New Roman" w:hAnsi="Times New Roman"/>
          <w:sz w:val="28"/>
          <w:szCs w:val="28"/>
        </w:rPr>
        <w:t>га Пермского края Туголуковой Ольгой Геннадьевной;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DAC">
        <w:rPr>
          <w:rFonts w:ascii="Times New Roman" w:hAnsi="Times New Roman"/>
          <w:sz w:val="28"/>
          <w:szCs w:val="28"/>
        </w:rPr>
        <w:t>- руководителем МКУ «ЦБ Суксунского городского округа» Никитиной Людмилой Ивановной;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DAC">
        <w:rPr>
          <w:rFonts w:ascii="Times New Roman" w:hAnsi="Times New Roman"/>
          <w:sz w:val="28"/>
          <w:szCs w:val="28"/>
        </w:rPr>
        <w:t>- ведущим бухгалтером МКУ «ЦБ Суксунского городского округа» Щелк</w:t>
      </w:r>
      <w:r w:rsidRPr="00F52DAC">
        <w:rPr>
          <w:rFonts w:ascii="Times New Roman" w:hAnsi="Times New Roman"/>
          <w:sz w:val="28"/>
          <w:szCs w:val="28"/>
        </w:rPr>
        <w:t>о</w:t>
      </w:r>
      <w:r w:rsidRPr="00F52DAC">
        <w:rPr>
          <w:rFonts w:ascii="Times New Roman" w:hAnsi="Times New Roman"/>
          <w:sz w:val="28"/>
          <w:szCs w:val="28"/>
        </w:rPr>
        <w:t>ноговой Натальей Юрьевной, на которую возложены обязанности главного бу</w:t>
      </w:r>
      <w:r w:rsidRPr="00F52DAC">
        <w:rPr>
          <w:rFonts w:ascii="Times New Roman" w:hAnsi="Times New Roman"/>
          <w:sz w:val="28"/>
          <w:szCs w:val="28"/>
        </w:rPr>
        <w:t>х</w:t>
      </w:r>
      <w:r w:rsidRPr="00F52DAC">
        <w:rPr>
          <w:rFonts w:ascii="Times New Roman" w:hAnsi="Times New Roman"/>
          <w:sz w:val="28"/>
          <w:szCs w:val="28"/>
        </w:rPr>
        <w:t>галтера по ведению бюджетного учета Контрольно-счетной палаты Суксунского городского округа Пермского края.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F52DAC">
        <w:rPr>
          <w:rFonts w:ascii="Times New Roman" w:eastAsiaTheme="minorHAnsi" w:hAnsi="Times New Roman"/>
          <w:sz w:val="28"/>
          <w:szCs w:val="28"/>
        </w:rPr>
        <w:t xml:space="preserve"> Инструкции № 191н б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Контрольно-счетной палаты показала, что данные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(далее – Баланс (ф.0503130)) на начало и конец отчетного периода о стоимости активов и обязательств, финансовом результате полностью соотве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ствуют счетам учета Главной книги.</w:t>
      </w:r>
      <w:proofErr w:type="gramEnd"/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подтверждаются данными, отраженными в Сведениях о движении нефинансовых активов (ф. 0503168).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подтверждаются данными, отраженными в Сведениях о дебиторской и кредиторской задолженности (вид задолженности – дебиторская задолженность) (ф. 0503169).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подтверждаются данными, отраженными в Св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дениях о дебиторской и кредиторской задолженности (вид задолженности – кр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диторская задолженность) (ф. 0503169).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подтверждается данными Справки по з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ключению счетов бюджетного учета отчетного финансового года (ф. 0503110).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 0503121) по состоянию на 01 января 2022 года подтверждаются данными Справки по закл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 503110).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Отчет о финансовых результатах деятельности (ф. 0503121) по состоянию на 01.01.2022 составлен в разрезе кодов КОСГУ и содержит данные о финансовых результатах деятельности Контрольно-счетной палаты. Проверкой контрольных соотношений отчетности расхождений не установлено.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Отчет об исполнении бюджета (</w:t>
      </w:r>
      <w:r w:rsidRPr="00F52DAC">
        <w:rPr>
          <w:rFonts w:ascii="Times New Roman" w:hAnsi="Times New Roman"/>
          <w:sz w:val="28"/>
          <w:szCs w:val="28"/>
        </w:rPr>
        <w:t>ф. 0503127) содержит данные об исполн</w:t>
      </w:r>
      <w:r w:rsidRPr="00F52DAC">
        <w:rPr>
          <w:rFonts w:ascii="Times New Roman" w:hAnsi="Times New Roman"/>
          <w:sz w:val="28"/>
          <w:szCs w:val="28"/>
        </w:rPr>
        <w:t>е</w:t>
      </w:r>
      <w:r w:rsidRPr="00F52DAC">
        <w:rPr>
          <w:rFonts w:ascii="Times New Roman" w:hAnsi="Times New Roman"/>
          <w:sz w:val="28"/>
          <w:szCs w:val="28"/>
        </w:rPr>
        <w:t>нии бюджета по доходам, расходам и источникам финансирования дефицита бюджета в соответствии с кодами бюджетной классификации Российской Фед</w:t>
      </w:r>
      <w:r w:rsidRPr="00F52DAC">
        <w:rPr>
          <w:rFonts w:ascii="Times New Roman" w:hAnsi="Times New Roman"/>
          <w:sz w:val="28"/>
          <w:szCs w:val="28"/>
        </w:rPr>
        <w:t>е</w:t>
      </w:r>
      <w:r w:rsidRPr="00F52DAC">
        <w:rPr>
          <w:rFonts w:ascii="Times New Roman" w:hAnsi="Times New Roman"/>
          <w:sz w:val="28"/>
          <w:szCs w:val="28"/>
        </w:rPr>
        <w:t>рации.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F52DAC">
        <w:rPr>
          <w:rFonts w:ascii="Times New Roman" w:hAnsi="Times New Roman"/>
          <w:sz w:val="28"/>
          <w:szCs w:val="28"/>
        </w:rPr>
        <w:t>об исполнении бюджета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DAC">
        <w:rPr>
          <w:rFonts w:ascii="Times New Roman" w:hAnsi="Times New Roman"/>
          <w:sz w:val="28"/>
          <w:szCs w:val="28"/>
        </w:rPr>
        <w:t xml:space="preserve">(ф. </w:t>
      </w:r>
      <w:r w:rsidRPr="00F52DAC">
        <w:rPr>
          <w:rFonts w:ascii="Times New Roman" w:hAnsi="Times New Roman"/>
          <w:sz w:val="28"/>
          <w:szCs w:val="28"/>
        </w:rPr>
        <w:lastRenderedPageBreak/>
        <w:t xml:space="preserve">0503127) 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составило 61 886,46 руб.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«Расходы бюджета» Отчета об исполнении бюджета </w:t>
      </w:r>
      <w:r w:rsidRPr="00F52DAC">
        <w:rPr>
          <w:rFonts w:ascii="Times New Roman" w:hAnsi="Times New Roman"/>
          <w:sz w:val="28"/>
          <w:szCs w:val="28"/>
        </w:rPr>
        <w:t>(ф. 0503127)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графы 4 «Утвержденные бюджетные назначения», графы 5 «Лимиты бюджетных обязательств» соответствуют данным сводной бюджетной росписи на 2021 год.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2021 год отражены в сумме 1 630 400,00 руб. Исполнение бюджета главного распорядителя в целом по расходам в 2021 году составило 1 621 701,76 руб., или 98,31% утвержденных бюджетных назначений.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2021 год с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ставило 8 698,24 руб.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F52DAC">
        <w:rPr>
          <w:rFonts w:ascii="Times New Roman" w:hAnsi="Times New Roman"/>
          <w:sz w:val="28"/>
          <w:szCs w:val="28"/>
        </w:rPr>
        <w:t xml:space="preserve">Отчета об исполнении бюджета (ф. 0503127) 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соотве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01.01.2022 нарушений не выявила.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ответствуют доходам и расходам бюджета  Отчета об исполнении бюджета </w:t>
      </w:r>
      <w:r w:rsidRPr="00F52DAC">
        <w:rPr>
          <w:rFonts w:ascii="Times New Roman" w:hAnsi="Times New Roman"/>
          <w:sz w:val="28"/>
          <w:szCs w:val="28"/>
        </w:rPr>
        <w:t>(ф. 0503127)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DAC">
        <w:rPr>
          <w:rFonts w:ascii="Times New Roman" w:hAnsi="Times New Roman"/>
          <w:sz w:val="28"/>
          <w:szCs w:val="28"/>
        </w:rPr>
        <w:t>Проверка справки по консолидируемым расчетам (ф. 0503125) нарушений не выявила.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DAC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 бюджетных обяз</w:t>
      </w:r>
      <w:r w:rsidRPr="00F52DAC">
        <w:rPr>
          <w:rFonts w:ascii="Times New Roman" w:hAnsi="Times New Roman"/>
          <w:sz w:val="28"/>
          <w:szCs w:val="28"/>
        </w:rPr>
        <w:t>а</w:t>
      </w:r>
      <w:r w:rsidRPr="00F52DAC">
        <w:rPr>
          <w:rFonts w:ascii="Times New Roman" w:hAnsi="Times New Roman"/>
          <w:sz w:val="28"/>
          <w:szCs w:val="28"/>
        </w:rPr>
        <w:t>тельств, принятых бюджетных и денежных обязательствах, исполненных дене</w:t>
      </w:r>
      <w:r w:rsidRPr="00F52DAC">
        <w:rPr>
          <w:rFonts w:ascii="Times New Roman" w:hAnsi="Times New Roman"/>
          <w:sz w:val="28"/>
          <w:szCs w:val="28"/>
        </w:rPr>
        <w:t>ж</w:t>
      </w:r>
      <w:r w:rsidRPr="00F52DAC">
        <w:rPr>
          <w:rFonts w:ascii="Times New Roman" w:hAnsi="Times New Roman"/>
          <w:sz w:val="28"/>
          <w:szCs w:val="28"/>
        </w:rPr>
        <w:t>ных обязательствах.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DAC">
        <w:rPr>
          <w:rFonts w:ascii="Times New Roman" w:hAnsi="Times New Roman"/>
          <w:sz w:val="28"/>
          <w:szCs w:val="28"/>
        </w:rPr>
        <w:t>Данные показателей раздела 1 Отчета о бюджетных обязательствах (ф. 0503128) соответствуют данным формы Отчета об исполнении бюджета (ф. 0503127).</w:t>
      </w:r>
    </w:p>
    <w:p w:rsidR="00F52DAC" w:rsidRPr="00F52DAC" w:rsidRDefault="00F52DAC" w:rsidP="00E62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DAC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Данные по отложенным обязательствам, отраженные в разделе 3 </w:t>
      </w:r>
      <w:r w:rsidRPr="00F52DAC">
        <w:rPr>
          <w:rFonts w:ascii="Times New Roman" w:hAnsi="Times New Roman"/>
          <w:sz w:val="28"/>
          <w:szCs w:val="28"/>
        </w:rPr>
        <w:t>Отчета о бюджетных обязательствах (ф. 0503128) соответствуют данным раздела 3 Баланса (ф.0503130) в части резервов предстоящих расходов.</w:t>
      </w:r>
    </w:p>
    <w:p w:rsidR="00F52DAC" w:rsidRPr="00F52DAC" w:rsidRDefault="00F52DAC" w:rsidP="00E62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hAnsi="Times New Roman"/>
          <w:sz w:val="28"/>
          <w:szCs w:val="28"/>
        </w:rPr>
        <w:t>При анализе текстовой части Пояснительной записки (ф. 0503160)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ний не выявлено.</w:t>
      </w:r>
    </w:p>
    <w:p w:rsidR="00F52DAC" w:rsidRPr="00F52DAC" w:rsidRDefault="00F52DAC" w:rsidP="00E62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В составе Пояснительной записки (ф. 0503160) представлена Таблица № 3 «Сведения об исполнении текстовых статей закона (решения) о бюджете». При её проверке нарушений не выявлено.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Данные Сведений об исполнении бюджета (ф. 0503164) соответствуют да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r w:rsidRPr="00F52DAC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 0503160) Свед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ниям о движении нефинансовых активов (ф. 0503168) замечаний нет.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вов (ф. 0503168) по состоянию на 01.01.2022 расхождений не установлено. Бала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совая стоимость основных средств по состоянию на 01.01.2022 составила 83 712,70 руб. и по сравнению с балансовой стоимостью основных средств по с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стоянию на 01.01.2021 не изменилась.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01.01.2022 года по данным Баланса (ф. 0503130) составила 83 712,70 руб., что также соотве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ствует данным, отраженным в Сведениях о движении нефинансовых активов (ф. 0503168).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01.01.2022 составила 21 848,00 руб. и уменьшилась сравнению со стоимостью материальных запасов по состоянию на 01.01.2021 на 6 845,61 руб., что соответствует данным об остатках материальных запасов, отраженных в Балансе (ф. 0503130) и Сведениях о движ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нии нефинансовых активов (ф. 0503168).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 0503169) на 01.01.2021 составляла 2 645,32 руб., на 01.01.2022 года составила 73,66 руб. (пеня за услуги связи). В целом дебиторская задолженность уменьшилась на 2 571,66 руб., или на 97,22%.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 0503169) на 01.01.2021 отсутствовала, на 01.01.2022 составила 73,66 руб. (за услуги связи). В целом кредиторская задолженность ув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личилась на 73,66 руб., или 100%.</w:t>
      </w:r>
    </w:p>
    <w:p w:rsidR="00F52DAC" w:rsidRPr="00F52DAC" w:rsidRDefault="00F52DAC" w:rsidP="00E62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 0503169) соответствуют показателям, указанным в Балансе (ф. 0503130). Просроченная задолженность о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сутствует.</w:t>
      </w:r>
    </w:p>
    <w:p w:rsidR="00F52DAC" w:rsidRPr="00F52DAC" w:rsidRDefault="00F52DAC" w:rsidP="00E62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Пояснительной записке (ф. 0503160) прилагаются Сведения об изменении остатков валюты баланса </w:t>
      </w:r>
      <w:hyperlink r:id="rId10" w:history="1">
        <w:r w:rsidRPr="00F52DAC">
          <w:rPr>
            <w:rFonts w:ascii="Times New Roman" w:eastAsia="Times New Roman" w:hAnsi="Times New Roman"/>
            <w:sz w:val="28"/>
            <w:szCs w:val="28"/>
            <w:lang w:eastAsia="ru-RU"/>
          </w:rPr>
          <w:t>(ф. 0503173)</w:t>
        </w:r>
      </w:hyperlink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, в которых по счету 209 36 000 отражена дебиторская задолженность за Фондом социального страхования (далее – ФСС) по возмещению расходов на оплату пособия по временной нетрудоспособности по состоянию на 01.01.2021 в сумме 2 645,32 руб.</w:t>
      </w:r>
    </w:p>
    <w:p w:rsidR="00F52DAC" w:rsidRPr="00F52DAC" w:rsidRDefault="00F52DAC" w:rsidP="00E62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ФСС возместил Контрольно-счетной палате расходы, направленные на оплату пособия по временной нетрудоспособности и на 01.01.2022 дебиторская задолженность за Фондом социального страхования о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сутствует.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отчетности, не представленные ввиду отсутствия числовых показателей в соответствии с пунктом 8 Инструкции № 191н: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- сведения о проведении инвентаризаций (Таблица № 6);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исполнении мероприятий в рамках целевых программ </w:t>
      </w:r>
      <w:hyperlink w:anchor="Par14480" w:tooltip="       Сведения об исполнении мероприятий в рамках целевых программ" w:history="1">
        <w:r w:rsidRPr="00F52DA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(ф. 0503166)</w:t>
        </w:r>
      </w:hyperlink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- сведения о финансовых вложениях получателя бюджетных средств, адм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нистратора источников финансирования дефицита бюджета (ф. 0503171);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государственном (муниципальном) долге, предоставленных бюджетных кредитах </w:t>
      </w:r>
      <w:hyperlink r:id="rId11" w:history="1">
        <w:r w:rsidRPr="00F52DAC">
          <w:rPr>
            <w:rFonts w:ascii="Times New Roman" w:eastAsia="Times New Roman" w:hAnsi="Times New Roman"/>
            <w:sz w:val="28"/>
            <w:szCs w:val="28"/>
            <w:lang w:eastAsia="ru-RU"/>
          </w:rPr>
          <w:t>(ф. 0503172)</w:t>
        </w:r>
      </w:hyperlink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2" w:history="1">
        <w:r w:rsidRPr="00F52DAC">
          <w:rPr>
            <w:rFonts w:ascii="Times New Roman" w:eastAsia="Times New Roman" w:hAnsi="Times New Roman"/>
            <w:sz w:val="28"/>
            <w:szCs w:val="28"/>
            <w:lang w:eastAsia="ru-RU"/>
          </w:rPr>
          <w:t>(ф. 0503174)</w:t>
        </w:r>
      </w:hyperlink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DAC">
        <w:rPr>
          <w:rFonts w:asciiTheme="minorHAnsi" w:eastAsiaTheme="minorHAnsi" w:hAnsiTheme="minorHAnsi" w:cstheme="minorBidi"/>
          <w:sz w:val="28"/>
          <w:szCs w:val="28"/>
        </w:rPr>
        <w:t>-</w:t>
      </w:r>
      <w:r w:rsidRPr="00F52DAC">
        <w:rPr>
          <w:rFonts w:ascii="Times New Roman" w:eastAsiaTheme="minorHAnsi" w:hAnsi="Times New Roman"/>
          <w:sz w:val="28"/>
          <w:szCs w:val="28"/>
        </w:rPr>
        <w:t xml:space="preserve"> сведений о принятых и неисполненных обязательствах получателя бю</w:t>
      </w:r>
      <w:r w:rsidRPr="00F52DAC">
        <w:rPr>
          <w:rFonts w:ascii="Times New Roman" w:eastAsiaTheme="minorHAnsi" w:hAnsi="Times New Roman"/>
          <w:sz w:val="28"/>
          <w:szCs w:val="28"/>
        </w:rPr>
        <w:t>д</w:t>
      </w:r>
      <w:r w:rsidRPr="00F52DAC">
        <w:rPr>
          <w:rFonts w:ascii="Times New Roman" w:eastAsiaTheme="minorHAnsi" w:hAnsi="Times New Roman"/>
          <w:sz w:val="28"/>
          <w:szCs w:val="28"/>
        </w:rPr>
        <w:t xml:space="preserve">жетных средств </w:t>
      </w:r>
      <w:hyperlink r:id="rId13" w:history="1">
        <w:r w:rsidRPr="00F52DAC">
          <w:rPr>
            <w:rFonts w:ascii="Times New Roman" w:eastAsiaTheme="minorHAnsi" w:hAnsi="Times New Roman"/>
            <w:sz w:val="28"/>
            <w:szCs w:val="28"/>
          </w:rPr>
          <w:t>(ф. 0503175)</w:t>
        </w:r>
      </w:hyperlink>
      <w:r w:rsidRPr="00F52DAC">
        <w:rPr>
          <w:rFonts w:ascii="Times New Roman" w:eastAsiaTheme="minorHAnsi" w:hAnsi="Times New Roman"/>
          <w:sz w:val="28"/>
          <w:szCs w:val="28"/>
        </w:rPr>
        <w:t>;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остатках денежных средств на счетах получателя бюджетных средств </w:t>
      </w:r>
      <w:hyperlink r:id="rId14" w:history="1">
        <w:r w:rsidRPr="00F52DAC">
          <w:rPr>
            <w:rFonts w:ascii="Times New Roman" w:eastAsia="Times New Roman" w:hAnsi="Times New Roman"/>
            <w:sz w:val="28"/>
            <w:szCs w:val="28"/>
            <w:lang w:eastAsia="ru-RU"/>
          </w:rPr>
          <w:t>(ф. 0503178)</w:t>
        </w:r>
      </w:hyperlink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- сведения о вложениях в объекты недвижимого имущества, объектах нез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вершенного строительства (</w:t>
      </w:r>
      <w:hyperlink r:id="rId15" w:anchor="l6943" w:history="1">
        <w:r w:rsidRPr="00F52DAC">
          <w:rPr>
            <w:rFonts w:ascii="Times New Roman" w:eastAsia="Times New Roman" w:hAnsi="Times New Roman"/>
            <w:sz w:val="28"/>
            <w:szCs w:val="28"/>
            <w:lang w:eastAsia="ru-RU"/>
          </w:rPr>
          <w:t>ф. 0503190</w:t>
        </w:r>
      </w:hyperlink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исполнении судебных решений по денежным обязательствам бюджета </w:t>
      </w:r>
      <w:hyperlink r:id="rId16" w:history="1">
        <w:r w:rsidRPr="00F52DAC">
          <w:rPr>
            <w:rFonts w:ascii="Times New Roman" w:eastAsia="Times New Roman" w:hAnsi="Times New Roman"/>
            <w:sz w:val="28"/>
            <w:szCs w:val="28"/>
            <w:lang w:eastAsia="ru-RU"/>
          </w:rPr>
          <w:t>(ф. 0503296)</w:t>
        </w:r>
      </w:hyperlink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07CB" w:rsidRPr="007607CB" w:rsidRDefault="007607CB" w:rsidP="00E62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322" w:rsidRDefault="00806751" w:rsidP="00E62647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E62647" w:rsidRPr="0055699A" w:rsidRDefault="00E62647" w:rsidP="00E62647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 за Контрольно-счетной палатой закреплены доходы бюджета на 2021 год в сумме 54 200,00 руб. Фактическое и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полнение по доходам за 2021 год составило 61 886,46 руб.</w:t>
      </w:r>
      <w:r w:rsidR="00E626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114,18% утве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жденных бюджетных назначений.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Контрольно-счетной палаты по ра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ходам на 2021 год составили 1 630 400,00 руб. Фактическое исполнение по расх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дам в 2021 году составило 1 621 701,76 руб., или 99,47% утвержденных бюдже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ных назначений.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Контрольно-счетной палаты соо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ветствует требованиям </w:t>
      </w:r>
      <w:r w:rsidRPr="00F52DAC">
        <w:rPr>
          <w:rFonts w:ascii="Times New Roman" w:hAnsi="Times New Roman"/>
          <w:sz w:val="28"/>
          <w:szCs w:val="28"/>
        </w:rPr>
        <w:t>Инструкции № 191н. Фактов неполноты бюджетной о</w:t>
      </w:r>
      <w:r w:rsidRPr="00F52DAC">
        <w:rPr>
          <w:rFonts w:ascii="Times New Roman" w:hAnsi="Times New Roman"/>
          <w:sz w:val="28"/>
          <w:szCs w:val="28"/>
        </w:rPr>
        <w:t>т</w:t>
      </w:r>
      <w:r w:rsidRPr="00F52DAC">
        <w:rPr>
          <w:rFonts w:ascii="Times New Roman" w:hAnsi="Times New Roman"/>
          <w:sz w:val="28"/>
          <w:szCs w:val="28"/>
        </w:rPr>
        <w:t>четности не установлено.</w:t>
      </w:r>
    </w:p>
    <w:p w:rsidR="00F52DAC" w:rsidRPr="00F52DAC" w:rsidRDefault="00F52DAC" w:rsidP="00E6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F52DAC" w:rsidRPr="00F52DAC" w:rsidRDefault="00F52DAC" w:rsidP="00F52D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DAC" w:rsidRPr="00F52DAC" w:rsidRDefault="00F52DAC" w:rsidP="00E62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2021 год главного администратора бюджетных средств Контрольно-счетной палаты Суксунского городского округа Пермского края дает основание полагать, что отчетность явл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52DAC">
        <w:rPr>
          <w:rFonts w:ascii="Times New Roman" w:eastAsia="Times New Roman" w:hAnsi="Times New Roman"/>
          <w:sz w:val="28"/>
          <w:szCs w:val="28"/>
          <w:lang w:eastAsia="ru-RU"/>
        </w:rPr>
        <w:t>ется достоверной.</w:t>
      </w:r>
    </w:p>
    <w:p w:rsidR="00E12141" w:rsidRPr="00E95827" w:rsidRDefault="00E12141" w:rsidP="00E62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Default="00155C21" w:rsidP="00E62647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E12141" w:rsidRPr="0055699A" w:rsidRDefault="00E12141" w:rsidP="00E62647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3542" w:rsidRPr="00E12141" w:rsidRDefault="00E12141" w:rsidP="00E1214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4C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459B3" w:rsidRPr="007D34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44F2D" w:rsidRPr="007D3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7D34CD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7D34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7D34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90B1D" w:rsidRPr="007D34CD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501DAE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501DAE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4C0CA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542" w:rsidRDefault="00D43542" w:rsidP="00E62647">
      <w:pPr>
        <w:pStyle w:val="21"/>
        <w:spacing w:line="240" w:lineRule="exact"/>
        <w:ind w:firstLine="539"/>
      </w:pPr>
    </w:p>
    <w:p w:rsidR="00D43542" w:rsidRPr="006D2F8D" w:rsidRDefault="00D43542" w:rsidP="00E62647">
      <w:pPr>
        <w:pStyle w:val="21"/>
        <w:spacing w:line="240" w:lineRule="exact"/>
        <w:ind w:firstLine="539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E62647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9079F7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9079F7">
        <w:rPr>
          <w:rFonts w:ascii="Times New Roman" w:hAnsi="Times New Roman"/>
          <w:sz w:val="28"/>
          <w:szCs w:val="28"/>
        </w:rPr>
        <w:t>округ</w:t>
      </w:r>
      <w:r w:rsidR="00E62647">
        <w:rPr>
          <w:rFonts w:ascii="Times New Roman" w:hAnsi="Times New Roman"/>
          <w:sz w:val="28"/>
          <w:szCs w:val="28"/>
        </w:rPr>
        <w:t>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 w:rsidR="00E62647">
        <w:rPr>
          <w:rFonts w:ascii="Times New Roman" w:hAnsi="Times New Roman"/>
          <w:sz w:val="28"/>
          <w:szCs w:val="28"/>
        </w:rPr>
        <w:t xml:space="preserve">Пермского края </w:t>
      </w:r>
      <w:r w:rsidRPr="006D2F8D">
        <w:rPr>
          <w:rFonts w:ascii="Times New Roman" w:hAnsi="Times New Roman"/>
          <w:sz w:val="28"/>
          <w:szCs w:val="28"/>
        </w:rPr>
        <w:t xml:space="preserve">                              О.Г. Туголукова</w:t>
      </w:r>
    </w:p>
    <w:sectPr w:rsidR="00A816AB" w:rsidRPr="006D2F8D" w:rsidSect="00BC1BA7">
      <w:headerReference w:type="default" r:id="rId17"/>
      <w:headerReference w:type="firs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6B" w:rsidRDefault="00376E6B" w:rsidP="004F76E4">
      <w:pPr>
        <w:spacing w:after="0" w:line="240" w:lineRule="auto"/>
      </w:pPr>
      <w:r>
        <w:separator/>
      </w:r>
    </w:p>
  </w:endnote>
  <w:endnote w:type="continuationSeparator" w:id="0">
    <w:p w:rsidR="00376E6B" w:rsidRDefault="00376E6B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6B" w:rsidRDefault="00376E6B" w:rsidP="004F76E4">
      <w:pPr>
        <w:spacing w:after="0" w:line="240" w:lineRule="auto"/>
      </w:pPr>
      <w:r>
        <w:separator/>
      </w:r>
    </w:p>
  </w:footnote>
  <w:footnote w:type="continuationSeparator" w:id="0">
    <w:p w:rsidR="00376E6B" w:rsidRDefault="00376E6B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E04A0" w:rsidRPr="00255904" w:rsidRDefault="002E04A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A56BB0">
          <w:rPr>
            <w:rFonts w:ascii="Times New Roman" w:hAnsi="Times New Roman"/>
            <w:noProof/>
            <w:sz w:val="28"/>
            <w:szCs w:val="28"/>
          </w:rPr>
          <w:t>9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E04A0" w:rsidRDefault="002E04A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A0" w:rsidRDefault="002E04A0">
    <w:pPr>
      <w:pStyle w:val="aa"/>
      <w:jc w:val="center"/>
    </w:pPr>
  </w:p>
  <w:p w:rsidR="002E04A0" w:rsidRDefault="002E04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7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4AF479F"/>
    <w:multiLevelType w:val="hybridMultilevel"/>
    <w:tmpl w:val="953C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8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5"/>
  </w:num>
  <w:num w:numId="20">
    <w:abstractNumId w:val="18"/>
  </w:num>
  <w:num w:numId="21">
    <w:abstractNumId w:val="2"/>
  </w:num>
  <w:num w:numId="22">
    <w:abstractNumId w:val="10"/>
  </w:num>
  <w:num w:numId="23">
    <w:abstractNumId w:val="7"/>
  </w:num>
  <w:num w:numId="24">
    <w:abstractNumId w:val="6"/>
  </w:num>
  <w:num w:numId="25">
    <w:abstractNumId w:val="3"/>
  </w:num>
  <w:num w:numId="26">
    <w:abstractNumId w:val="22"/>
  </w:num>
  <w:num w:numId="27">
    <w:abstractNumId w:val="26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9ED"/>
    <w:rsid w:val="00010E2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2ED5"/>
    <w:rsid w:val="00047FE5"/>
    <w:rsid w:val="00051E4F"/>
    <w:rsid w:val="000525A1"/>
    <w:rsid w:val="00057264"/>
    <w:rsid w:val="00061881"/>
    <w:rsid w:val="0006361C"/>
    <w:rsid w:val="00070112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8D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482A"/>
    <w:rsid w:val="000B5F46"/>
    <w:rsid w:val="000C0D2A"/>
    <w:rsid w:val="000C0DE2"/>
    <w:rsid w:val="000C208F"/>
    <w:rsid w:val="000C26A1"/>
    <w:rsid w:val="000C4837"/>
    <w:rsid w:val="000C4A52"/>
    <w:rsid w:val="000C4E84"/>
    <w:rsid w:val="000D1380"/>
    <w:rsid w:val="000D4C8F"/>
    <w:rsid w:val="000D5502"/>
    <w:rsid w:val="000D65F8"/>
    <w:rsid w:val="000D71E0"/>
    <w:rsid w:val="000E16F4"/>
    <w:rsid w:val="000E1964"/>
    <w:rsid w:val="000E5534"/>
    <w:rsid w:val="000F0071"/>
    <w:rsid w:val="000F2F77"/>
    <w:rsid w:val="000F73F6"/>
    <w:rsid w:val="000F7C27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7C2C"/>
    <w:rsid w:val="00131C16"/>
    <w:rsid w:val="0013386A"/>
    <w:rsid w:val="00134EE1"/>
    <w:rsid w:val="001356A0"/>
    <w:rsid w:val="00136151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57189"/>
    <w:rsid w:val="00161122"/>
    <w:rsid w:val="00173A3B"/>
    <w:rsid w:val="0017411B"/>
    <w:rsid w:val="00181731"/>
    <w:rsid w:val="001854AD"/>
    <w:rsid w:val="00185B8C"/>
    <w:rsid w:val="001943F2"/>
    <w:rsid w:val="00195344"/>
    <w:rsid w:val="00196688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6280"/>
    <w:rsid w:val="001D7225"/>
    <w:rsid w:val="001E05D0"/>
    <w:rsid w:val="001E6904"/>
    <w:rsid w:val="001F328E"/>
    <w:rsid w:val="001F34A6"/>
    <w:rsid w:val="001F6662"/>
    <w:rsid w:val="0020408F"/>
    <w:rsid w:val="00205D34"/>
    <w:rsid w:val="0020661C"/>
    <w:rsid w:val="002072A9"/>
    <w:rsid w:val="0021059C"/>
    <w:rsid w:val="00211A25"/>
    <w:rsid w:val="0021258F"/>
    <w:rsid w:val="00221C92"/>
    <w:rsid w:val="00225A2C"/>
    <w:rsid w:val="00230365"/>
    <w:rsid w:val="0023165D"/>
    <w:rsid w:val="00233452"/>
    <w:rsid w:val="00236C69"/>
    <w:rsid w:val="00240B4C"/>
    <w:rsid w:val="002467CF"/>
    <w:rsid w:val="00247574"/>
    <w:rsid w:val="0025324D"/>
    <w:rsid w:val="00255696"/>
    <w:rsid w:val="00255904"/>
    <w:rsid w:val="0026028F"/>
    <w:rsid w:val="00262DF0"/>
    <w:rsid w:val="0026301D"/>
    <w:rsid w:val="002663DA"/>
    <w:rsid w:val="00267091"/>
    <w:rsid w:val="002673FB"/>
    <w:rsid w:val="0027275B"/>
    <w:rsid w:val="00282EC2"/>
    <w:rsid w:val="00283D91"/>
    <w:rsid w:val="002841DA"/>
    <w:rsid w:val="00284A3B"/>
    <w:rsid w:val="00293FDF"/>
    <w:rsid w:val="00294738"/>
    <w:rsid w:val="002A01EF"/>
    <w:rsid w:val="002A0E89"/>
    <w:rsid w:val="002A3486"/>
    <w:rsid w:val="002A426A"/>
    <w:rsid w:val="002A4B99"/>
    <w:rsid w:val="002A533D"/>
    <w:rsid w:val="002B2BD8"/>
    <w:rsid w:val="002C006C"/>
    <w:rsid w:val="002C07E3"/>
    <w:rsid w:val="002C0A2F"/>
    <w:rsid w:val="002C2CDA"/>
    <w:rsid w:val="002C3015"/>
    <w:rsid w:val="002C3F2E"/>
    <w:rsid w:val="002C58E2"/>
    <w:rsid w:val="002D0A4D"/>
    <w:rsid w:val="002D7046"/>
    <w:rsid w:val="002E04A0"/>
    <w:rsid w:val="002E1B13"/>
    <w:rsid w:val="002E2216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3F4C"/>
    <w:rsid w:val="003176AC"/>
    <w:rsid w:val="0032029D"/>
    <w:rsid w:val="00323D7D"/>
    <w:rsid w:val="003244DF"/>
    <w:rsid w:val="0032500A"/>
    <w:rsid w:val="00325E89"/>
    <w:rsid w:val="00326090"/>
    <w:rsid w:val="0032796B"/>
    <w:rsid w:val="00331659"/>
    <w:rsid w:val="00333047"/>
    <w:rsid w:val="00334D0B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581A"/>
    <w:rsid w:val="003676B2"/>
    <w:rsid w:val="00376E6B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291A"/>
    <w:rsid w:val="003B3AB9"/>
    <w:rsid w:val="003B4830"/>
    <w:rsid w:val="003B4ABF"/>
    <w:rsid w:val="003B5078"/>
    <w:rsid w:val="003B605E"/>
    <w:rsid w:val="003B7148"/>
    <w:rsid w:val="003C5775"/>
    <w:rsid w:val="003D052C"/>
    <w:rsid w:val="003D180B"/>
    <w:rsid w:val="003D2A9B"/>
    <w:rsid w:val="003D5C81"/>
    <w:rsid w:val="003E0424"/>
    <w:rsid w:val="003E4C05"/>
    <w:rsid w:val="003E4E33"/>
    <w:rsid w:val="003F0211"/>
    <w:rsid w:val="003F15F6"/>
    <w:rsid w:val="003F26C8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16D7D"/>
    <w:rsid w:val="004251CD"/>
    <w:rsid w:val="00425425"/>
    <w:rsid w:val="00433AED"/>
    <w:rsid w:val="00434259"/>
    <w:rsid w:val="00434713"/>
    <w:rsid w:val="00436E4D"/>
    <w:rsid w:val="00440296"/>
    <w:rsid w:val="00440FD0"/>
    <w:rsid w:val="004418E0"/>
    <w:rsid w:val="004423AC"/>
    <w:rsid w:val="00446FDD"/>
    <w:rsid w:val="0044737B"/>
    <w:rsid w:val="004510D0"/>
    <w:rsid w:val="00451867"/>
    <w:rsid w:val="0045242A"/>
    <w:rsid w:val="00454634"/>
    <w:rsid w:val="00463A5B"/>
    <w:rsid w:val="004674E9"/>
    <w:rsid w:val="00473932"/>
    <w:rsid w:val="004754A2"/>
    <w:rsid w:val="0047654E"/>
    <w:rsid w:val="00476FCD"/>
    <w:rsid w:val="00481B9D"/>
    <w:rsid w:val="0048238C"/>
    <w:rsid w:val="0048337E"/>
    <w:rsid w:val="00490528"/>
    <w:rsid w:val="0049561E"/>
    <w:rsid w:val="00495E30"/>
    <w:rsid w:val="004A4D17"/>
    <w:rsid w:val="004A53AB"/>
    <w:rsid w:val="004B2ED4"/>
    <w:rsid w:val="004B6BBA"/>
    <w:rsid w:val="004B7753"/>
    <w:rsid w:val="004C0CA4"/>
    <w:rsid w:val="004C1D00"/>
    <w:rsid w:val="004C21DA"/>
    <w:rsid w:val="004C5C4E"/>
    <w:rsid w:val="004D4E33"/>
    <w:rsid w:val="004D7EF1"/>
    <w:rsid w:val="004E1422"/>
    <w:rsid w:val="004E40B7"/>
    <w:rsid w:val="004E47DB"/>
    <w:rsid w:val="004E7D50"/>
    <w:rsid w:val="004F6397"/>
    <w:rsid w:val="004F6619"/>
    <w:rsid w:val="004F76E4"/>
    <w:rsid w:val="0050059C"/>
    <w:rsid w:val="00501DAE"/>
    <w:rsid w:val="00504F6F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4F2D"/>
    <w:rsid w:val="005526EC"/>
    <w:rsid w:val="00553589"/>
    <w:rsid w:val="00555E2E"/>
    <w:rsid w:val="0055699A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B8A"/>
    <w:rsid w:val="005C1C8E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5D77"/>
    <w:rsid w:val="005E5F6D"/>
    <w:rsid w:val="005F14C8"/>
    <w:rsid w:val="005F1C21"/>
    <w:rsid w:val="005F501F"/>
    <w:rsid w:val="005F7953"/>
    <w:rsid w:val="00604091"/>
    <w:rsid w:val="00607729"/>
    <w:rsid w:val="00615179"/>
    <w:rsid w:val="00615A61"/>
    <w:rsid w:val="0061768A"/>
    <w:rsid w:val="00621275"/>
    <w:rsid w:val="00624DB7"/>
    <w:rsid w:val="00625B31"/>
    <w:rsid w:val="006326D6"/>
    <w:rsid w:val="006431A3"/>
    <w:rsid w:val="006441AD"/>
    <w:rsid w:val="006453AF"/>
    <w:rsid w:val="00647139"/>
    <w:rsid w:val="0065098D"/>
    <w:rsid w:val="00652E55"/>
    <w:rsid w:val="0065373A"/>
    <w:rsid w:val="00657131"/>
    <w:rsid w:val="00660CFC"/>
    <w:rsid w:val="00661F01"/>
    <w:rsid w:val="0066300B"/>
    <w:rsid w:val="00667142"/>
    <w:rsid w:val="00667A5C"/>
    <w:rsid w:val="00670618"/>
    <w:rsid w:val="00670ECB"/>
    <w:rsid w:val="00672239"/>
    <w:rsid w:val="00681605"/>
    <w:rsid w:val="00686465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3622"/>
    <w:rsid w:val="006E37CD"/>
    <w:rsid w:val="006E6738"/>
    <w:rsid w:val="006F0A07"/>
    <w:rsid w:val="00700586"/>
    <w:rsid w:val="00703181"/>
    <w:rsid w:val="0070618B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07CB"/>
    <w:rsid w:val="007623CD"/>
    <w:rsid w:val="007624D6"/>
    <w:rsid w:val="00762C71"/>
    <w:rsid w:val="00765471"/>
    <w:rsid w:val="00770617"/>
    <w:rsid w:val="00770E94"/>
    <w:rsid w:val="00774C01"/>
    <w:rsid w:val="00785A04"/>
    <w:rsid w:val="007926AD"/>
    <w:rsid w:val="00793E7F"/>
    <w:rsid w:val="00794277"/>
    <w:rsid w:val="0079499D"/>
    <w:rsid w:val="00795ACB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C7D61"/>
    <w:rsid w:val="007D2541"/>
    <w:rsid w:val="007D299A"/>
    <w:rsid w:val="007D2C4C"/>
    <w:rsid w:val="007D2F4D"/>
    <w:rsid w:val="007D34CD"/>
    <w:rsid w:val="007D4E78"/>
    <w:rsid w:val="007D7212"/>
    <w:rsid w:val="007E0085"/>
    <w:rsid w:val="007E1523"/>
    <w:rsid w:val="007E3C4F"/>
    <w:rsid w:val="007F10F9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2D10"/>
    <w:rsid w:val="00824966"/>
    <w:rsid w:val="008258DB"/>
    <w:rsid w:val="00825FF2"/>
    <w:rsid w:val="00834765"/>
    <w:rsid w:val="00836725"/>
    <w:rsid w:val="0084484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79C9"/>
    <w:rsid w:val="00880A1F"/>
    <w:rsid w:val="00886415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2375"/>
    <w:rsid w:val="008C5267"/>
    <w:rsid w:val="008D3F30"/>
    <w:rsid w:val="008E0EDA"/>
    <w:rsid w:val="008E252B"/>
    <w:rsid w:val="008E6E93"/>
    <w:rsid w:val="008F5A10"/>
    <w:rsid w:val="00901AD9"/>
    <w:rsid w:val="009079F7"/>
    <w:rsid w:val="009140B3"/>
    <w:rsid w:val="00914822"/>
    <w:rsid w:val="009208B0"/>
    <w:rsid w:val="00921EA9"/>
    <w:rsid w:val="00922FCD"/>
    <w:rsid w:val="00924E43"/>
    <w:rsid w:val="00925FF0"/>
    <w:rsid w:val="0093120C"/>
    <w:rsid w:val="009422E1"/>
    <w:rsid w:val="009447A0"/>
    <w:rsid w:val="00945101"/>
    <w:rsid w:val="00962201"/>
    <w:rsid w:val="00963A4E"/>
    <w:rsid w:val="00975265"/>
    <w:rsid w:val="00976B0E"/>
    <w:rsid w:val="00980E8E"/>
    <w:rsid w:val="009869A9"/>
    <w:rsid w:val="00990B1D"/>
    <w:rsid w:val="009914E7"/>
    <w:rsid w:val="00992AE8"/>
    <w:rsid w:val="009A3525"/>
    <w:rsid w:val="009A3990"/>
    <w:rsid w:val="009A5162"/>
    <w:rsid w:val="009A5D1D"/>
    <w:rsid w:val="009B1B6C"/>
    <w:rsid w:val="009B344F"/>
    <w:rsid w:val="009B3457"/>
    <w:rsid w:val="009B555F"/>
    <w:rsid w:val="009C30B2"/>
    <w:rsid w:val="009C3944"/>
    <w:rsid w:val="009C6384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E7D9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10F92"/>
    <w:rsid w:val="00A111E1"/>
    <w:rsid w:val="00A153BF"/>
    <w:rsid w:val="00A221F3"/>
    <w:rsid w:val="00A22CE7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516E7"/>
    <w:rsid w:val="00A51EFF"/>
    <w:rsid w:val="00A54714"/>
    <w:rsid w:val="00A560FE"/>
    <w:rsid w:val="00A56BB0"/>
    <w:rsid w:val="00A60666"/>
    <w:rsid w:val="00A74E1B"/>
    <w:rsid w:val="00A755FF"/>
    <w:rsid w:val="00A816AB"/>
    <w:rsid w:val="00A92511"/>
    <w:rsid w:val="00A92C6C"/>
    <w:rsid w:val="00A92CC2"/>
    <w:rsid w:val="00A93A1C"/>
    <w:rsid w:val="00A9520D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664C"/>
    <w:rsid w:val="00AC68D3"/>
    <w:rsid w:val="00AD5320"/>
    <w:rsid w:val="00AE144F"/>
    <w:rsid w:val="00AE6E69"/>
    <w:rsid w:val="00AF2073"/>
    <w:rsid w:val="00AF24B7"/>
    <w:rsid w:val="00AF4B45"/>
    <w:rsid w:val="00AF7968"/>
    <w:rsid w:val="00B058BF"/>
    <w:rsid w:val="00B0648D"/>
    <w:rsid w:val="00B12015"/>
    <w:rsid w:val="00B14A35"/>
    <w:rsid w:val="00B15BCC"/>
    <w:rsid w:val="00B16061"/>
    <w:rsid w:val="00B224EE"/>
    <w:rsid w:val="00B23960"/>
    <w:rsid w:val="00B3074C"/>
    <w:rsid w:val="00B3412D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2A64"/>
    <w:rsid w:val="00B8351E"/>
    <w:rsid w:val="00B8378A"/>
    <w:rsid w:val="00B83F11"/>
    <w:rsid w:val="00B8490C"/>
    <w:rsid w:val="00B90B66"/>
    <w:rsid w:val="00B968EE"/>
    <w:rsid w:val="00B96934"/>
    <w:rsid w:val="00BA4A4E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D51E8"/>
    <w:rsid w:val="00BD5634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178E4"/>
    <w:rsid w:val="00C20D04"/>
    <w:rsid w:val="00C212A5"/>
    <w:rsid w:val="00C21D1C"/>
    <w:rsid w:val="00C261E2"/>
    <w:rsid w:val="00C26F63"/>
    <w:rsid w:val="00C3263D"/>
    <w:rsid w:val="00C36622"/>
    <w:rsid w:val="00C4225D"/>
    <w:rsid w:val="00C43131"/>
    <w:rsid w:val="00C43EA3"/>
    <w:rsid w:val="00C458D0"/>
    <w:rsid w:val="00C46471"/>
    <w:rsid w:val="00C466B2"/>
    <w:rsid w:val="00C51B85"/>
    <w:rsid w:val="00C5238C"/>
    <w:rsid w:val="00C52AD1"/>
    <w:rsid w:val="00C54714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874F6"/>
    <w:rsid w:val="00CA13B6"/>
    <w:rsid w:val="00CA3660"/>
    <w:rsid w:val="00CA72DB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1B9"/>
    <w:rsid w:val="00D06B1A"/>
    <w:rsid w:val="00D2329B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47A78"/>
    <w:rsid w:val="00D61231"/>
    <w:rsid w:val="00D65630"/>
    <w:rsid w:val="00D70957"/>
    <w:rsid w:val="00D70F4E"/>
    <w:rsid w:val="00D718BE"/>
    <w:rsid w:val="00D73D01"/>
    <w:rsid w:val="00D82D27"/>
    <w:rsid w:val="00D840EC"/>
    <w:rsid w:val="00D84EC7"/>
    <w:rsid w:val="00D8603E"/>
    <w:rsid w:val="00D86D70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C2CB2"/>
    <w:rsid w:val="00DD3B45"/>
    <w:rsid w:val="00DD55C9"/>
    <w:rsid w:val="00DD7953"/>
    <w:rsid w:val="00DE28F8"/>
    <w:rsid w:val="00DF357D"/>
    <w:rsid w:val="00E01049"/>
    <w:rsid w:val="00E019FA"/>
    <w:rsid w:val="00E040F6"/>
    <w:rsid w:val="00E07708"/>
    <w:rsid w:val="00E12141"/>
    <w:rsid w:val="00E15401"/>
    <w:rsid w:val="00E211E7"/>
    <w:rsid w:val="00E24214"/>
    <w:rsid w:val="00E256D1"/>
    <w:rsid w:val="00E31921"/>
    <w:rsid w:val="00E3757E"/>
    <w:rsid w:val="00E41043"/>
    <w:rsid w:val="00E41406"/>
    <w:rsid w:val="00E52FDC"/>
    <w:rsid w:val="00E574C9"/>
    <w:rsid w:val="00E62647"/>
    <w:rsid w:val="00E62941"/>
    <w:rsid w:val="00E63C44"/>
    <w:rsid w:val="00E746AB"/>
    <w:rsid w:val="00E90220"/>
    <w:rsid w:val="00E91C5F"/>
    <w:rsid w:val="00E9344C"/>
    <w:rsid w:val="00E95827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286D"/>
    <w:rsid w:val="00F03CE6"/>
    <w:rsid w:val="00F0483C"/>
    <w:rsid w:val="00F05761"/>
    <w:rsid w:val="00F12EC9"/>
    <w:rsid w:val="00F27878"/>
    <w:rsid w:val="00F361CF"/>
    <w:rsid w:val="00F417BE"/>
    <w:rsid w:val="00F41E39"/>
    <w:rsid w:val="00F43338"/>
    <w:rsid w:val="00F45998"/>
    <w:rsid w:val="00F46516"/>
    <w:rsid w:val="00F51E27"/>
    <w:rsid w:val="00F52332"/>
    <w:rsid w:val="00F52DAC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9548F"/>
    <w:rsid w:val="00FA1C98"/>
    <w:rsid w:val="00FA2E22"/>
    <w:rsid w:val="00FA64CE"/>
    <w:rsid w:val="00FB5D14"/>
    <w:rsid w:val="00FC64C6"/>
    <w:rsid w:val="00FC707F"/>
    <w:rsid w:val="00FD1129"/>
    <w:rsid w:val="00FD4B63"/>
    <w:rsid w:val="00FD74CC"/>
    <w:rsid w:val="00FD7B3B"/>
    <w:rsid w:val="00FE675B"/>
    <w:rsid w:val="00FE7144"/>
    <w:rsid w:val="00FE73E7"/>
    <w:rsid w:val="00FF0532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357552" TargetMode="External"/><Relationship Id="rId10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4" Type="http://schemas.openxmlformats.org/officeDocument/2006/relationships/hyperlink" Target="consultantplus://offline/ref=EEA58529EC8CE0CE9F361194AB29FD6D2A8CCE9C48D2E9A6204B381D01244D07931C2ECEF35B64D0F7CDAEB50477BCBB9E2C48283A59E3DFV0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161D-FCFC-4002-B349-930686B4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9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225</cp:revision>
  <cp:lastPrinted>2018-08-22T09:16:00Z</cp:lastPrinted>
  <dcterms:created xsi:type="dcterms:W3CDTF">2018-08-17T10:08:00Z</dcterms:created>
  <dcterms:modified xsi:type="dcterms:W3CDTF">2022-04-27T10:28:00Z</dcterms:modified>
</cp:coreProperties>
</file>