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886415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r w:rsidR="00FE7122">
        <w:rPr>
          <w:rFonts w:ascii="Times New Roman" w:hAnsi="Times New Roman"/>
          <w:b/>
          <w:sz w:val="28"/>
          <w:szCs w:val="28"/>
        </w:rPr>
        <w:t>Думы</w:t>
      </w:r>
      <w:r w:rsidR="00886415">
        <w:rPr>
          <w:rFonts w:ascii="Times New Roman" w:hAnsi="Times New Roman"/>
          <w:b/>
          <w:sz w:val="28"/>
          <w:szCs w:val="28"/>
        </w:rPr>
        <w:t xml:space="preserve"> </w:t>
      </w:r>
    </w:p>
    <w:p w:rsidR="00B75DCF" w:rsidRPr="00B75DCF" w:rsidRDefault="00B75DCF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 xml:space="preserve">Суксунского </w:t>
      </w:r>
      <w:r w:rsidR="00886415">
        <w:rPr>
          <w:rFonts w:ascii="Times New Roman" w:hAnsi="Times New Roman"/>
          <w:b/>
          <w:sz w:val="28"/>
          <w:szCs w:val="28"/>
        </w:rPr>
        <w:t>городск</w:t>
      </w:r>
      <w:r w:rsidRPr="00B75DCF">
        <w:rPr>
          <w:rFonts w:ascii="Times New Roman" w:hAnsi="Times New Roman"/>
          <w:b/>
          <w:sz w:val="28"/>
          <w:szCs w:val="28"/>
        </w:rPr>
        <w:t xml:space="preserve">ого </w:t>
      </w:r>
      <w:r w:rsidR="00886415">
        <w:rPr>
          <w:rFonts w:ascii="Times New Roman" w:hAnsi="Times New Roman"/>
          <w:b/>
          <w:sz w:val="28"/>
          <w:szCs w:val="28"/>
        </w:rPr>
        <w:t>округ</w:t>
      </w:r>
      <w:r w:rsidRPr="00B75DCF">
        <w:rPr>
          <w:rFonts w:ascii="Times New Roman" w:hAnsi="Times New Roman"/>
          <w:b/>
          <w:sz w:val="28"/>
          <w:szCs w:val="28"/>
        </w:rPr>
        <w:t>а 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8E2DE6">
        <w:rPr>
          <w:rFonts w:ascii="Times New Roman" w:hAnsi="Times New Roman"/>
          <w:b/>
          <w:sz w:val="28"/>
          <w:szCs w:val="28"/>
        </w:rPr>
        <w:t>1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93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9378F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D84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131623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131623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8E2DE6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</w:t>
      </w:r>
      <w:r w:rsidR="00131623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131623">
        <w:rPr>
          <w:rFonts w:ascii="Times New Roman" w:hAnsi="Times New Roman"/>
          <w:sz w:val="28"/>
          <w:szCs w:val="28"/>
        </w:rPr>
        <w:t>4</w:t>
      </w:r>
    </w:p>
    <w:p w:rsidR="00D84D12" w:rsidRDefault="00D84D12" w:rsidP="009378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D12" w:rsidRDefault="00D84D12" w:rsidP="009378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F2" w:rsidRDefault="001B7F56" w:rsidP="00D84D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8265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E826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D7700">
        <w:rPr>
          <w:rFonts w:ascii="Times New Roman" w:hAnsi="Times New Roman"/>
          <w:sz w:val="28"/>
          <w:szCs w:val="28"/>
        </w:rPr>
        <w:t>31</w:t>
      </w:r>
      <w:r w:rsidR="00FD65BC" w:rsidRPr="00FD65BC">
        <w:rPr>
          <w:rFonts w:ascii="Times New Roman" w:hAnsi="Times New Roman"/>
          <w:sz w:val="28"/>
          <w:szCs w:val="28"/>
        </w:rPr>
        <w:t>.03.202</w:t>
      </w:r>
      <w:r w:rsidR="00CD7700">
        <w:rPr>
          <w:rFonts w:ascii="Times New Roman" w:hAnsi="Times New Roman"/>
          <w:sz w:val="28"/>
          <w:szCs w:val="28"/>
        </w:rPr>
        <w:t>2</w:t>
      </w:r>
      <w:r w:rsidR="00FD65BC" w:rsidRPr="00FD65BC">
        <w:rPr>
          <w:rFonts w:ascii="Times New Roman" w:hAnsi="Times New Roman"/>
          <w:sz w:val="28"/>
          <w:szCs w:val="28"/>
        </w:rPr>
        <w:t xml:space="preserve"> № </w:t>
      </w:r>
      <w:r w:rsidR="00CD7700">
        <w:rPr>
          <w:rFonts w:ascii="Times New Roman" w:hAnsi="Times New Roman"/>
          <w:sz w:val="28"/>
          <w:szCs w:val="28"/>
        </w:rPr>
        <w:t>7</w:t>
      </w:r>
      <w:r w:rsidR="00FD65BC" w:rsidRPr="00660CFC">
        <w:rPr>
          <w:rFonts w:ascii="Times New Roman" w:hAnsi="Times New Roman"/>
          <w:sz w:val="28"/>
          <w:szCs w:val="28"/>
        </w:rPr>
        <w:t xml:space="preserve"> </w:t>
      </w:r>
      <w:r w:rsidR="00660CFC" w:rsidRPr="00660CFC">
        <w:rPr>
          <w:rFonts w:ascii="Times New Roman" w:hAnsi="Times New Roman"/>
          <w:sz w:val="28"/>
          <w:szCs w:val="28"/>
        </w:rPr>
        <w:t xml:space="preserve">«О проведении внешней проверки бюджетной отчетности </w:t>
      </w:r>
      <w:r w:rsidR="00FD65BC">
        <w:rPr>
          <w:rFonts w:ascii="Times New Roman" w:hAnsi="Times New Roman"/>
          <w:sz w:val="28"/>
          <w:szCs w:val="28"/>
        </w:rPr>
        <w:t>Думы</w:t>
      </w:r>
      <w:r w:rsidR="00660CFC" w:rsidRPr="00660CFC">
        <w:rPr>
          <w:rFonts w:ascii="Times New Roman" w:hAnsi="Times New Roman"/>
          <w:sz w:val="28"/>
          <w:szCs w:val="28"/>
        </w:rPr>
        <w:t xml:space="preserve"> Суксунского городского округа за 202</w:t>
      </w:r>
      <w:r w:rsidR="007E20E9">
        <w:rPr>
          <w:rFonts w:ascii="Times New Roman" w:hAnsi="Times New Roman"/>
          <w:sz w:val="28"/>
          <w:szCs w:val="28"/>
        </w:rPr>
        <w:t>1</w:t>
      </w:r>
      <w:r w:rsidR="00660CFC" w:rsidRPr="00660CFC">
        <w:rPr>
          <w:rFonts w:ascii="Times New Roman" w:hAnsi="Times New Roman"/>
          <w:sz w:val="28"/>
          <w:szCs w:val="28"/>
        </w:rPr>
        <w:t xml:space="preserve">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D84D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FD65BC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(далее – </w:t>
      </w:r>
      <w:r w:rsidR="00FD65BC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proofErr w:type="gramEnd"/>
      <w:r w:rsidR="00FD65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FD65BC" w:rsidRPr="00FD65BC">
        <w:rPr>
          <w:rFonts w:ascii="Times New Roman" w:hAnsi="Times New Roman"/>
          <w:sz w:val="28"/>
          <w:szCs w:val="28"/>
        </w:rPr>
        <w:t>Дума Суксунского городского округа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20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84D12" w:rsidRDefault="00D84D12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E96" w:rsidRDefault="00B8161C" w:rsidP="00A05432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D12">
        <w:rPr>
          <w:rFonts w:ascii="Times New Roman" w:hAnsi="Times New Roman"/>
          <w:b/>
          <w:sz w:val="28"/>
          <w:szCs w:val="28"/>
        </w:rPr>
        <w:t>Цел</w:t>
      </w:r>
      <w:r w:rsidR="003E4E33" w:rsidRPr="00D84D12">
        <w:rPr>
          <w:rFonts w:ascii="Times New Roman" w:hAnsi="Times New Roman"/>
          <w:b/>
          <w:sz w:val="28"/>
          <w:szCs w:val="28"/>
        </w:rPr>
        <w:t>ь</w:t>
      </w:r>
      <w:r w:rsidRPr="00D84D12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D84D12" w:rsidRPr="00D84D12" w:rsidRDefault="00D84D12" w:rsidP="00A05432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5BF" w:rsidRDefault="00F70E96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F1E7C" w:rsidRPr="00DF1E7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Установить степень полноты бюджетной отчетности за 2021 год, ее соо</w:t>
      </w:r>
      <w:r w:rsidR="00DF1E7C" w:rsidRPr="00DF1E7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="00DF1E7C" w:rsidRPr="00DF1E7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ветствие требованиям статей 264.1, 264.2 Бюджетного кодекса Российской Федер</w:t>
      </w:r>
      <w:r w:rsidR="00DF1E7C" w:rsidRPr="00DF1E7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="00DF1E7C" w:rsidRPr="00DF1E7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ции (далее – БК РФ)</w:t>
      </w:r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>, Инструкции о порядке составления и представления годовой, квартальной и месячной отчетности об исполнении бюджетов бюджетной сист</w:t>
      </w:r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Федерации, утвержденной приказом Министерства финансов Ро</w:t>
      </w:r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от 28.12.2010 № 191н «Об утверждении Инструкции о поря</w:t>
      </w:r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>ке составления и представления годовой, квартальной и месячной</w:t>
      </w:r>
      <w:proofErr w:type="gramEnd"/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об исполнении бюджетов бюджетной системы Российской Федерации» (далее – И</w:t>
      </w:r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F1E7C" w:rsidRPr="00DF1E7C">
        <w:rPr>
          <w:rFonts w:ascii="Times New Roman" w:eastAsia="Times New Roman" w:hAnsi="Times New Roman"/>
          <w:sz w:val="28"/>
          <w:szCs w:val="28"/>
          <w:lang w:eastAsia="ru-RU"/>
        </w:rPr>
        <w:t>струкция № 191н), по составу и содержанию.</w:t>
      </w:r>
    </w:p>
    <w:p w:rsidR="00564CBC" w:rsidRPr="00564CBC" w:rsidRDefault="00564CBC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</w:t>
      </w:r>
      <w:r w:rsidR="00DF1E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D84D12" w:rsidRDefault="00D84D12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303" w:rsidRDefault="00555303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303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Думы пр</w:t>
      </w:r>
      <w:r w:rsidRPr="005553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55303">
        <w:rPr>
          <w:rFonts w:ascii="Times New Roman" w:eastAsia="Times New Roman" w:hAnsi="Times New Roman"/>
          <w:sz w:val="28"/>
          <w:szCs w:val="28"/>
          <w:lang w:eastAsia="ru-RU"/>
        </w:rPr>
        <w:t>водилась на выборочной основе с применением принципа существенности и включала в себя анализ, сопоставление и оценку годовой бюджетной отчетности, данных Финансового управления Администрации Суксунского городского округа Пермского края об исполнении бюджета и других материалов.</w:t>
      </w:r>
    </w:p>
    <w:p w:rsidR="00555303" w:rsidRPr="00555303" w:rsidRDefault="00555303" w:rsidP="00A054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A05432">
      <w:pPr>
        <w:pStyle w:val="21"/>
        <w:widowControl w:val="0"/>
        <w:spacing w:line="240" w:lineRule="exact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A05432">
      <w:pPr>
        <w:pStyle w:val="21"/>
        <w:widowControl w:val="0"/>
        <w:spacing w:line="240" w:lineRule="exact"/>
        <w:ind w:firstLine="709"/>
        <w:rPr>
          <w:b/>
        </w:rPr>
      </w:pPr>
    </w:p>
    <w:p w:rsidR="005C2ED9" w:rsidRPr="005C2ED9" w:rsidRDefault="005C2ED9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Дума является выборным представительным органом местного самоупра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ления, осуществляет свои права в пределах, установленных Конституцией и де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ствующим законодательством Российской Федерации, Пермского края, Уставом Суксунского городского округа, принятого решением Думы Суксунского горо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ского округа от 31.10.2019 № 38 (далее – Устав).</w:t>
      </w:r>
    </w:p>
    <w:p w:rsidR="005C2ED9" w:rsidRPr="005C2ED9" w:rsidRDefault="005C2ED9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Основным видом деятельности является: Деятельность органов местного самоуправления по управлению вопросами общего характера.</w:t>
      </w:r>
    </w:p>
    <w:p w:rsidR="005C2ED9" w:rsidRPr="005C2ED9" w:rsidRDefault="005C2ED9" w:rsidP="00D84D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Дума не имеет подведомственных участников бюджетного процесса, учр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ждений и муниципальных унитарных предприятий.</w:t>
      </w:r>
    </w:p>
    <w:p w:rsidR="005C2ED9" w:rsidRPr="005C2ED9" w:rsidRDefault="005C2ED9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Дума Суксунского городского округа.</w:t>
      </w:r>
    </w:p>
    <w:p w:rsidR="005C2ED9" w:rsidRPr="005C2ED9" w:rsidRDefault="005C2ED9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Дума Суксунского городского округа.</w:t>
      </w:r>
    </w:p>
    <w:p w:rsidR="005C2ED9" w:rsidRPr="005C2ED9" w:rsidRDefault="005C2ED9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Дума зарегистрирована в ЕГРЮЛ 27.09.2019 года.</w:t>
      </w:r>
    </w:p>
    <w:p w:rsidR="005C2ED9" w:rsidRPr="005C2ED9" w:rsidRDefault="005C2ED9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 617560, Пермский край, Суксунский район, рабочий поселок Суксун, улица Карла Маркса, 4.</w:t>
      </w:r>
    </w:p>
    <w:p w:rsidR="005C2ED9" w:rsidRPr="005C2ED9" w:rsidRDefault="005C2ED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D9">
        <w:rPr>
          <w:rFonts w:ascii="Times New Roman" w:hAnsi="Times New Roman"/>
          <w:sz w:val="28"/>
          <w:szCs w:val="28"/>
        </w:rPr>
        <w:t>Руководителем Думы является председатель Думы Суксунского городского округа Николай Федорович Коряков, избранный на должность решением Думы Суксунского городского округа от 19.09.2019 № 1 «Об избрании председателя Думы Суксунского городского округа».</w:t>
      </w:r>
    </w:p>
    <w:p w:rsidR="005C2ED9" w:rsidRPr="005C2ED9" w:rsidRDefault="005C2ED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ED9">
        <w:rPr>
          <w:rFonts w:ascii="Times New Roman" w:hAnsi="Times New Roman"/>
          <w:sz w:val="28"/>
          <w:szCs w:val="28"/>
        </w:rPr>
        <w:t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Думой Суксунского городского округа заключено с МКУ «ЦБ Суксунского городского округа» Соглашение от 13.01.2020 № 6 об оказании услуг по ведению бюджетного, налогового, статистического учета, планирования бюджетной сметы и составления отчетности.</w:t>
      </w:r>
      <w:proofErr w:type="gramEnd"/>
    </w:p>
    <w:p w:rsidR="005C2ED9" w:rsidRPr="005C2ED9" w:rsidRDefault="005C2ED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ED9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5C2ED9">
        <w:rPr>
          <w:rFonts w:ascii="Times New Roman" w:hAnsi="Times New Roman"/>
          <w:sz w:val="28"/>
          <w:szCs w:val="28"/>
        </w:rPr>
        <w:t>х</w:t>
      </w:r>
      <w:r w:rsidRPr="005C2ED9">
        <w:rPr>
          <w:rFonts w:ascii="Times New Roman" w:hAnsi="Times New Roman"/>
          <w:sz w:val="28"/>
          <w:szCs w:val="28"/>
        </w:rPr>
        <w:t>галтерских документах» (в редакции приказа МКУ «ЦБ Суксунского городского округа» от 29.04.2021 № 21) обязанности главного бухгалтера по ведению бю</w:t>
      </w:r>
      <w:r w:rsidRPr="005C2ED9">
        <w:rPr>
          <w:rFonts w:ascii="Times New Roman" w:hAnsi="Times New Roman"/>
          <w:sz w:val="28"/>
          <w:szCs w:val="28"/>
        </w:rPr>
        <w:t>д</w:t>
      </w:r>
      <w:r w:rsidRPr="005C2ED9">
        <w:rPr>
          <w:rFonts w:ascii="Times New Roman" w:hAnsi="Times New Roman"/>
          <w:sz w:val="28"/>
          <w:szCs w:val="28"/>
        </w:rPr>
        <w:t xml:space="preserve">жетного учета </w:t>
      </w:r>
      <w:r w:rsidR="00405D70">
        <w:rPr>
          <w:rFonts w:ascii="Times New Roman" w:hAnsi="Times New Roman"/>
          <w:sz w:val="28"/>
          <w:szCs w:val="28"/>
        </w:rPr>
        <w:t>Думы</w:t>
      </w:r>
      <w:r w:rsidRPr="005C2ED9">
        <w:rPr>
          <w:rFonts w:ascii="Times New Roman" w:hAnsi="Times New Roman"/>
          <w:sz w:val="28"/>
          <w:szCs w:val="28"/>
        </w:rPr>
        <w:t xml:space="preserve"> Суксунского городского округа возложены на ведущего бу</w:t>
      </w:r>
      <w:r w:rsidRPr="005C2ED9">
        <w:rPr>
          <w:rFonts w:ascii="Times New Roman" w:hAnsi="Times New Roman"/>
          <w:sz w:val="28"/>
          <w:szCs w:val="28"/>
        </w:rPr>
        <w:t>х</w:t>
      </w:r>
      <w:r w:rsidRPr="005C2ED9">
        <w:rPr>
          <w:rFonts w:ascii="Times New Roman" w:hAnsi="Times New Roman"/>
          <w:sz w:val="28"/>
          <w:szCs w:val="28"/>
        </w:rPr>
        <w:t>галтера Щелконогову Наталью Юрьевну.</w:t>
      </w:r>
      <w:proofErr w:type="gramEnd"/>
    </w:p>
    <w:p w:rsidR="005C2ED9" w:rsidRPr="005C2ED9" w:rsidRDefault="005C2ED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C2ED9">
        <w:rPr>
          <w:rFonts w:ascii="Times New Roman" w:hAnsi="Times New Roman"/>
          <w:spacing w:val="-4"/>
          <w:sz w:val="28"/>
          <w:szCs w:val="28"/>
        </w:rPr>
        <w:t>Таким образом, в соответствии с пунктом 6 Инструкции № 191н право подп</w:t>
      </w:r>
      <w:r w:rsidRPr="005C2ED9">
        <w:rPr>
          <w:rFonts w:ascii="Times New Roman" w:hAnsi="Times New Roman"/>
          <w:spacing w:val="-4"/>
          <w:sz w:val="28"/>
          <w:szCs w:val="28"/>
        </w:rPr>
        <w:t>и</w:t>
      </w:r>
      <w:r w:rsidRPr="005C2ED9">
        <w:rPr>
          <w:rFonts w:ascii="Times New Roman" w:hAnsi="Times New Roman"/>
          <w:spacing w:val="-4"/>
          <w:sz w:val="28"/>
          <w:szCs w:val="28"/>
        </w:rPr>
        <w:t>си бюджетной отчетности Думы Суксунского городского округа за 2021 год имеют:</w:t>
      </w:r>
    </w:p>
    <w:p w:rsidR="005C2ED9" w:rsidRPr="005C2ED9" w:rsidRDefault="005C2ED9" w:rsidP="00D8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D9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 Суксунского городского округа Коряков Николай Ф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2ED9">
        <w:rPr>
          <w:rFonts w:ascii="Times New Roman" w:eastAsia="Times New Roman" w:hAnsi="Times New Roman"/>
          <w:sz w:val="28"/>
          <w:szCs w:val="28"/>
          <w:lang w:eastAsia="ru-RU"/>
        </w:rPr>
        <w:t>дорович;</w:t>
      </w:r>
    </w:p>
    <w:p w:rsidR="005C2ED9" w:rsidRPr="005C2ED9" w:rsidRDefault="005C2ED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D9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5C2ED9">
        <w:rPr>
          <w:rFonts w:ascii="Times New Roman" w:hAnsi="Times New Roman"/>
          <w:sz w:val="28"/>
          <w:szCs w:val="28"/>
        </w:rPr>
        <w:t>д</w:t>
      </w:r>
      <w:r w:rsidRPr="005C2ED9">
        <w:rPr>
          <w:rFonts w:ascii="Times New Roman" w:hAnsi="Times New Roman"/>
          <w:sz w:val="28"/>
          <w:szCs w:val="28"/>
        </w:rPr>
        <w:t>мила Ивановна;</w:t>
      </w:r>
    </w:p>
    <w:p w:rsidR="005C2ED9" w:rsidRPr="005C2ED9" w:rsidRDefault="005C2ED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D9">
        <w:rPr>
          <w:rFonts w:ascii="Times New Roman" w:hAnsi="Times New Roman"/>
          <w:sz w:val="28"/>
          <w:szCs w:val="28"/>
        </w:rPr>
        <w:t>- ведущий бухгалтер МКУ «ЦБ Суксунского городского округа» Щелкон</w:t>
      </w:r>
      <w:r w:rsidRPr="005C2ED9">
        <w:rPr>
          <w:rFonts w:ascii="Times New Roman" w:hAnsi="Times New Roman"/>
          <w:sz w:val="28"/>
          <w:szCs w:val="28"/>
        </w:rPr>
        <w:t>о</w:t>
      </w:r>
      <w:r w:rsidRPr="005C2ED9">
        <w:rPr>
          <w:rFonts w:ascii="Times New Roman" w:hAnsi="Times New Roman"/>
          <w:sz w:val="28"/>
          <w:szCs w:val="28"/>
        </w:rPr>
        <w:t>гова Наталья Юрьевна, на которую возложены обязанности главного бухгалтера по ведению бюджетного учета Думы Суксунского городского округа.</w:t>
      </w:r>
    </w:p>
    <w:p w:rsidR="00233452" w:rsidRPr="00945101" w:rsidRDefault="00233452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D84D12" w:rsidRDefault="00D84D12" w:rsidP="00A05432">
      <w:pPr>
        <w:spacing w:after="0" w:line="240" w:lineRule="exact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D84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D84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A05432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>Дума Суксунского городского округа в</w:t>
      </w:r>
      <w:r w:rsidRPr="000D745C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городского округа от 17.12.2020 № 168 «О бюджете Суксунского г</w:t>
      </w:r>
      <w:r w:rsidRPr="000D745C">
        <w:rPr>
          <w:rFonts w:ascii="Times New Roman" w:eastAsiaTheme="minorHAnsi" w:hAnsi="Times New Roman"/>
          <w:sz w:val="28"/>
          <w:szCs w:val="28"/>
        </w:rPr>
        <w:t>о</w:t>
      </w:r>
      <w:r w:rsidRPr="000D745C">
        <w:rPr>
          <w:rFonts w:ascii="Times New Roman" w:eastAsiaTheme="minorHAnsi" w:hAnsi="Times New Roman"/>
          <w:sz w:val="28"/>
          <w:szCs w:val="28"/>
        </w:rPr>
        <w:t xml:space="preserve">родского округа на 2021 год и на плановый период 2022 и 2023 годов» (далее – Решение о бюджете) </w:t>
      </w:r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</w:t>
      </w:r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>теля бюджетных средств.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Годовая бюджетная отчетность Думы Суксунского городского округа за 2021 год представлена в составе, предусмотренном подпунктом 11.1 пункта 11</w:t>
      </w:r>
      <w:r w:rsidRPr="000D745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D745C">
        <w:rPr>
          <w:rFonts w:ascii="Times New Roman" w:eastAsiaTheme="minorHAnsi" w:hAnsi="Times New Roman"/>
          <w:sz w:val="28"/>
          <w:szCs w:val="28"/>
        </w:rPr>
        <w:lastRenderedPageBreak/>
        <w:t>Инструкции № 191н: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0D745C">
        <w:rPr>
          <w:rFonts w:ascii="Times New Roman" w:eastAsiaTheme="minorHAnsi" w:hAnsi="Times New Roman"/>
          <w:sz w:val="28"/>
          <w:szCs w:val="28"/>
        </w:rPr>
        <w:t>о</w:t>
      </w:r>
      <w:r w:rsidRPr="000D745C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0D745C">
        <w:rPr>
          <w:rFonts w:ascii="Times New Roman" w:eastAsiaTheme="minorHAnsi" w:hAnsi="Times New Roman"/>
          <w:sz w:val="28"/>
          <w:szCs w:val="28"/>
        </w:rPr>
        <w:t>и</w:t>
      </w:r>
      <w:r w:rsidRPr="000D745C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745C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0D745C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0D745C" w:rsidRPr="000D745C" w:rsidRDefault="000D745C" w:rsidP="00D84D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об изменении остатков валюты баланса </w:t>
      </w:r>
      <w:hyperlink r:id="rId9" w:history="1">
        <w:r w:rsidRPr="000D745C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0D74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6BBA" w:rsidRPr="00700586" w:rsidRDefault="004B6BBA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D7953" w:rsidRPr="00D84D12" w:rsidRDefault="00D84D12" w:rsidP="00D84D12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D7953" w:rsidRPr="00D84D12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2C4D52" w:rsidRPr="00D84D12">
        <w:rPr>
          <w:rFonts w:ascii="Times New Roman" w:hAnsi="Times New Roman"/>
          <w:b/>
          <w:bCs/>
          <w:sz w:val="28"/>
          <w:szCs w:val="28"/>
        </w:rPr>
        <w:t>Думе</w:t>
      </w:r>
      <w:r w:rsidR="00DD7953" w:rsidRPr="00D84D12">
        <w:rPr>
          <w:rFonts w:ascii="Times New Roman" w:hAnsi="Times New Roman"/>
          <w:b/>
          <w:bCs/>
          <w:sz w:val="28"/>
          <w:szCs w:val="28"/>
        </w:rPr>
        <w:t xml:space="preserve"> Суксу</w:t>
      </w:r>
      <w:r w:rsidR="00DD7953" w:rsidRPr="00D84D12">
        <w:rPr>
          <w:rFonts w:ascii="Times New Roman" w:hAnsi="Times New Roman"/>
          <w:b/>
          <w:bCs/>
          <w:sz w:val="28"/>
          <w:szCs w:val="28"/>
        </w:rPr>
        <w:t>н</w:t>
      </w:r>
      <w:r w:rsidR="00066E91" w:rsidRPr="00D84D12">
        <w:rPr>
          <w:rFonts w:ascii="Times New Roman" w:hAnsi="Times New Roman"/>
          <w:b/>
          <w:bCs/>
          <w:sz w:val="28"/>
          <w:szCs w:val="28"/>
        </w:rPr>
        <w:t>ского городского округа</w:t>
      </w:r>
    </w:p>
    <w:p w:rsidR="00DD7953" w:rsidRPr="00DD7953" w:rsidRDefault="00DD7953" w:rsidP="00A05432">
      <w:pPr>
        <w:pStyle w:val="a7"/>
        <w:widowControl w:val="0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47B9" w:rsidRPr="00BD47B9" w:rsidRDefault="00BD47B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7B9">
        <w:rPr>
          <w:rFonts w:ascii="Times New Roman" w:hAnsi="Times New Roman"/>
          <w:sz w:val="28"/>
          <w:szCs w:val="28"/>
        </w:rPr>
        <w:t>Дума Суксунского городского округа в 2021 году в соответствии с Решен</w:t>
      </w:r>
      <w:r w:rsidRPr="00BD47B9">
        <w:rPr>
          <w:rFonts w:ascii="Times New Roman" w:hAnsi="Times New Roman"/>
          <w:sz w:val="28"/>
          <w:szCs w:val="28"/>
        </w:rPr>
        <w:t>и</w:t>
      </w:r>
      <w:r w:rsidRPr="00BD47B9">
        <w:rPr>
          <w:rFonts w:ascii="Times New Roman" w:hAnsi="Times New Roman"/>
          <w:sz w:val="28"/>
          <w:szCs w:val="28"/>
        </w:rPr>
        <w:t>ем о бюджете являлась главным распорядителем бюджетных средств по разделу классификации расходов бюджета 01.00 «Общегосударственные вопросы» в су</w:t>
      </w:r>
      <w:r w:rsidRPr="00BD47B9">
        <w:rPr>
          <w:rFonts w:ascii="Times New Roman" w:hAnsi="Times New Roman"/>
          <w:sz w:val="28"/>
          <w:szCs w:val="28"/>
        </w:rPr>
        <w:t>м</w:t>
      </w:r>
      <w:r w:rsidRPr="00BD47B9">
        <w:rPr>
          <w:rFonts w:ascii="Times New Roman" w:hAnsi="Times New Roman"/>
          <w:sz w:val="28"/>
          <w:szCs w:val="28"/>
        </w:rPr>
        <w:t>ме 1 653 400,00 руб.</w:t>
      </w:r>
    </w:p>
    <w:p w:rsidR="00BD47B9" w:rsidRPr="00BD47B9" w:rsidRDefault="00BD47B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7B9">
        <w:rPr>
          <w:rFonts w:ascii="Times New Roman" w:hAnsi="Times New Roman"/>
          <w:sz w:val="28"/>
          <w:szCs w:val="28"/>
        </w:rPr>
        <w:t>Согласно данным Отчета об исполнении бюджета (ф. 0503127) фактическое исполнение по расходам бюджета за 2021 год составило 1 604 958,99 руб.</w:t>
      </w:r>
    </w:p>
    <w:p w:rsidR="00BD47B9" w:rsidRPr="00BD47B9" w:rsidRDefault="00BD47B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7B9">
        <w:rPr>
          <w:rFonts w:ascii="Times New Roman" w:hAnsi="Times New Roman"/>
          <w:sz w:val="28"/>
          <w:szCs w:val="28"/>
        </w:rPr>
        <w:t>Анализ исполнения расходов бюджета представлен в таблице № 1.</w:t>
      </w:r>
    </w:p>
    <w:p w:rsidR="00BD47B9" w:rsidRPr="00BD47B9" w:rsidRDefault="00BD47B9" w:rsidP="00A05432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7B9" w:rsidRPr="00BD47B9" w:rsidRDefault="00BD47B9" w:rsidP="00A0543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D47B9">
        <w:rPr>
          <w:rFonts w:ascii="Times New Roman" w:hAnsi="Times New Roman"/>
          <w:sz w:val="20"/>
          <w:szCs w:val="20"/>
        </w:rPr>
        <w:t>Таблица № 1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043"/>
        <w:gridCol w:w="1701"/>
        <w:gridCol w:w="1842"/>
        <w:gridCol w:w="1985"/>
      </w:tblGrid>
      <w:tr w:rsidR="00BD47B9" w:rsidRPr="00BD47B9" w:rsidTr="00CC3529">
        <w:trPr>
          <w:trHeight w:val="248"/>
          <w:tblHeader/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Уточненные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плановые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назначения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на 2021 год,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в 2021 году, руб.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от уточненных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плановых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назначений,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</w:t>
            </w:r>
            <w:proofErr w:type="gramStart"/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уто</w:t>
            </w: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ненных</w:t>
            </w:r>
            <w:proofErr w:type="gramEnd"/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плановых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назначений,</w:t>
            </w:r>
          </w:p>
          <w:p w:rsidR="00BD47B9" w:rsidRPr="00BD47B9" w:rsidRDefault="00BD47B9" w:rsidP="00A0543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BD47B9" w:rsidRPr="00BD47B9" w:rsidTr="00CC3529">
        <w:trPr>
          <w:tblHeader/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47B9" w:rsidRPr="00BD47B9" w:rsidRDefault="00BD47B9" w:rsidP="00D84D1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B9" w:rsidRPr="00BD47B9" w:rsidRDefault="00BD47B9" w:rsidP="00D84D1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B9" w:rsidRPr="00BD47B9" w:rsidRDefault="00BD47B9" w:rsidP="00D84D1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B9" w:rsidRPr="00BD47B9" w:rsidRDefault="00BD47B9" w:rsidP="00D84D1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B9" w:rsidRPr="00BD47B9" w:rsidRDefault="00BD47B9" w:rsidP="00D84D1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7B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D47B9" w:rsidRPr="00BD47B9" w:rsidTr="00CC3529">
        <w:trPr>
          <w:trHeight w:val="272"/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47B9" w:rsidRPr="00BD47B9" w:rsidRDefault="00BD47B9" w:rsidP="00A05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47B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7B9" w:rsidRPr="00BD47B9" w:rsidRDefault="00BD47B9" w:rsidP="00A0543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7B9">
              <w:rPr>
                <w:rFonts w:ascii="Times New Roman" w:hAnsi="Times New Roman"/>
                <w:sz w:val="24"/>
                <w:szCs w:val="24"/>
              </w:rPr>
              <w:t>1</w:t>
            </w:r>
            <w:r w:rsidRPr="00BD47B9">
              <w:rPr>
                <w:rFonts w:ascii="Times New Roman" w:hAnsi="Times New Roman"/>
                <w:sz w:val="28"/>
                <w:szCs w:val="28"/>
              </w:rPr>
              <w:t> </w:t>
            </w:r>
            <w:r w:rsidRPr="00BD47B9">
              <w:rPr>
                <w:rFonts w:ascii="Times New Roman" w:hAnsi="Times New Roman"/>
                <w:sz w:val="24"/>
                <w:szCs w:val="24"/>
              </w:rPr>
              <w:t>653</w:t>
            </w:r>
            <w:r w:rsidRPr="00BD47B9">
              <w:rPr>
                <w:rFonts w:ascii="Times New Roman" w:hAnsi="Times New Roman"/>
                <w:sz w:val="28"/>
                <w:szCs w:val="28"/>
              </w:rPr>
              <w:t> </w:t>
            </w:r>
            <w:r w:rsidRPr="00BD47B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7B9" w:rsidRPr="00BD47B9" w:rsidRDefault="00BD47B9" w:rsidP="00A0543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47B9">
              <w:rPr>
                <w:rFonts w:ascii="Times New Roman" w:hAnsi="Times New Roman"/>
                <w:sz w:val="24"/>
                <w:szCs w:val="24"/>
              </w:rPr>
              <w:t>1</w:t>
            </w:r>
            <w:r w:rsidRPr="00BD47B9">
              <w:rPr>
                <w:rFonts w:ascii="Times New Roman" w:hAnsi="Times New Roman"/>
                <w:sz w:val="28"/>
                <w:szCs w:val="28"/>
              </w:rPr>
              <w:t> </w:t>
            </w:r>
            <w:r w:rsidRPr="00BD47B9">
              <w:rPr>
                <w:rFonts w:ascii="Times New Roman" w:hAnsi="Times New Roman"/>
                <w:sz w:val="24"/>
                <w:szCs w:val="24"/>
              </w:rPr>
              <w:t>604</w:t>
            </w:r>
            <w:r w:rsidRPr="00BD47B9">
              <w:rPr>
                <w:rFonts w:ascii="Times New Roman" w:hAnsi="Times New Roman"/>
                <w:sz w:val="28"/>
                <w:szCs w:val="28"/>
              </w:rPr>
              <w:t> </w:t>
            </w:r>
            <w:r w:rsidRPr="00BD47B9">
              <w:rPr>
                <w:rFonts w:ascii="Times New Roman" w:hAnsi="Times New Roman"/>
                <w:sz w:val="24"/>
                <w:szCs w:val="24"/>
              </w:rPr>
              <w:t>958,99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7B9" w:rsidRPr="00BD47B9" w:rsidRDefault="00BD47B9" w:rsidP="00A0543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47B9">
              <w:rPr>
                <w:rFonts w:ascii="Times New Roman" w:hAnsi="Times New Roman"/>
                <w:sz w:val="24"/>
                <w:szCs w:val="24"/>
              </w:rPr>
              <w:t>48 441,01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7B9" w:rsidRPr="00BD47B9" w:rsidRDefault="00BD47B9" w:rsidP="00A0543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47B9">
              <w:rPr>
                <w:rFonts w:ascii="Times New Roman" w:hAnsi="Times New Roman"/>
                <w:sz w:val="24"/>
                <w:szCs w:val="24"/>
              </w:rPr>
              <w:t>97,07</w:t>
            </w:r>
          </w:p>
        </w:tc>
      </w:tr>
    </w:tbl>
    <w:p w:rsidR="00BD47B9" w:rsidRPr="00BD47B9" w:rsidRDefault="00BD47B9" w:rsidP="009378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470" w:rsidRPr="001D1470" w:rsidRDefault="00BD47B9" w:rsidP="00D84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7B9">
        <w:rPr>
          <w:rFonts w:ascii="Times New Roman" w:hAnsi="Times New Roman"/>
          <w:sz w:val="28"/>
          <w:szCs w:val="28"/>
        </w:rPr>
        <w:lastRenderedPageBreak/>
        <w:t>Расходная часть в 2021 году по статье расходов «Общегосударственные в</w:t>
      </w:r>
      <w:r w:rsidRPr="00BD47B9">
        <w:rPr>
          <w:rFonts w:ascii="Times New Roman" w:hAnsi="Times New Roman"/>
          <w:sz w:val="28"/>
          <w:szCs w:val="28"/>
        </w:rPr>
        <w:t>о</w:t>
      </w:r>
      <w:r w:rsidRPr="00BD47B9">
        <w:rPr>
          <w:rFonts w:ascii="Times New Roman" w:hAnsi="Times New Roman"/>
          <w:sz w:val="28"/>
          <w:szCs w:val="28"/>
        </w:rPr>
        <w:t>просы» не исполнена в сумме 48 441,01 руб., выполнение составило 97,07% уто</w:t>
      </w:r>
      <w:r w:rsidRPr="00BD47B9">
        <w:rPr>
          <w:rFonts w:ascii="Times New Roman" w:hAnsi="Times New Roman"/>
          <w:sz w:val="28"/>
          <w:szCs w:val="28"/>
        </w:rPr>
        <w:t>ч</w:t>
      </w:r>
      <w:r w:rsidRPr="00BD47B9">
        <w:rPr>
          <w:rFonts w:ascii="Times New Roman" w:hAnsi="Times New Roman"/>
          <w:sz w:val="28"/>
          <w:szCs w:val="28"/>
        </w:rPr>
        <w:t>ненных плановых назначений на 2021 год.</w:t>
      </w:r>
    </w:p>
    <w:p w:rsidR="00D84D12" w:rsidRDefault="00D84D12" w:rsidP="00A054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098D" w:rsidRPr="00D84D12" w:rsidRDefault="00D84D12" w:rsidP="00D84D12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F85B2F" w:rsidRPr="00D84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D84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D84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D84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D84D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A05432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60708">
        <w:rPr>
          <w:rFonts w:ascii="Times New Roman" w:eastAsiaTheme="minorHAnsi" w:hAnsi="Times New Roman"/>
          <w:sz w:val="28"/>
          <w:szCs w:val="28"/>
        </w:rPr>
        <w:t>Годовая бюджетная отчетность за 2021 год составлена в соответствии с тр</w:t>
      </w:r>
      <w:r w:rsidRPr="00560708">
        <w:rPr>
          <w:rFonts w:ascii="Times New Roman" w:eastAsiaTheme="minorHAnsi" w:hAnsi="Times New Roman"/>
          <w:sz w:val="28"/>
          <w:szCs w:val="28"/>
        </w:rPr>
        <w:t>е</w:t>
      </w:r>
      <w:r w:rsidRPr="00560708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16.12.2021 № 44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2021 год».</w:t>
      </w:r>
      <w:proofErr w:type="gramEnd"/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0708">
        <w:rPr>
          <w:rFonts w:ascii="Times New Roman" w:eastAsiaTheme="minorHAnsi" w:hAnsi="Times New Roman"/>
          <w:sz w:val="28"/>
          <w:szCs w:val="28"/>
        </w:rPr>
        <w:t>Думе Суксунского городского округа установлена дата представления и сдачи отчета – 12.01.2022.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0708">
        <w:rPr>
          <w:rFonts w:ascii="Times New Roman" w:eastAsiaTheme="minorHAnsi" w:hAnsi="Times New Roman"/>
          <w:sz w:val="28"/>
          <w:szCs w:val="28"/>
        </w:rPr>
        <w:t>Сроки представления отчетности соблюдены.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0708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560708">
        <w:rPr>
          <w:rFonts w:ascii="Times New Roman" w:eastAsiaTheme="minorHAnsi" w:hAnsi="Times New Roman"/>
          <w:sz w:val="28"/>
          <w:szCs w:val="28"/>
        </w:rPr>
        <w:t>т</w:t>
      </w:r>
      <w:r w:rsidRPr="00560708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редседателем Думы Суксунского городского округа </w:t>
      </w:r>
      <w:proofErr w:type="spellStart"/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Коряковым</w:t>
      </w:r>
      <w:proofErr w:type="spellEnd"/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ем Федоровичем;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0708">
        <w:rPr>
          <w:rFonts w:ascii="Times New Roman" w:hAnsi="Times New Roman"/>
          <w:spacing w:val="-4"/>
          <w:sz w:val="28"/>
          <w:szCs w:val="28"/>
        </w:rPr>
        <w:t>- руководителем МКУ «ЦБ Суксунского городского округа» Никитиной Лю</w:t>
      </w:r>
      <w:r w:rsidRPr="00560708">
        <w:rPr>
          <w:rFonts w:ascii="Times New Roman" w:hAnsi="Times New Roman"/>
          <w:spacing w:val="-4"/>
          <w:sz w:val="28"/>
          <w:szCs w:val="28"/>
        </w:rPr>
        <w:t>д</w:t>
      </w:r>
      <w:r w:rsidRPr="00560708">
        <w:rPr>
          <w:rFonts w:ascii="Times New Roman" w:hAnsi="Times New Roman"/>
          <w:spacing w:val="-4"/>
          <w:sz w:val="28"/>
          <w:szCs w:val="28"/>
        </w:rPr>
        <w:t>милой Ивановной;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- ведущим бухгалтером МКУ «ЦБ Суксунского городского округа» Щелк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ноговой Натальей Юрьевной, на которую возложены обязанности главного бу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галтера по ведению бюджетного учета Думы Суксунского городского округа.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560708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Думы Суксунского городского округа п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казала, что данные Баланса главного распорядителя, распорядителя, получателя бюджетных средств, главного администратора, администратора источников ф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нансирования дефицита бюджета, главного администратора, администратора д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ходов бюджета (ф. 0503130) (далее – Баланс (ф. 0503130)) на начало и конец о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о стоимости активов и обязательств, финансовом результате полностью соответствуют счетам учета Главной книги.</w:t>
      </w:r>
      <w:proofErr w:type="gramEnd"/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данными, отраженными в Сведениях о движении нефинансовых активов (ф. 0503168).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данными, отраженными в Св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дениях о дебиторской и кредиторской задолженности (вид задолженности – кр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диторская задолженность) (ф. 0503169).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4 «Финансовый результат» подтверждается данными Справки по з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 0503110).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2022 года подтверждаются данными Справки по закл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560708">
        <w:rPr>
          <w:rFonts w:ascii="Times New Roman" w:hAnsi="Times New Roman"/>
          <w:sz w:val="28"/>
          <w:szCs w:val="28"/>
        </w:rPr>
        <w:t>е</w:t>
      </w:r>
      <w:r w:rsidRPr="00560708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560708">
        <w:rPr>
          <w:rFonts w:ascii="Times New Roman" w:hAnsi="Times New Roman"/>
          <w:sz w:val="28"/>
          <w:szCs w:val="28"/>
        </w:rPr>
        <w:t>е</w:t>
      </w:r>
      <w:r w:rsidRPr="00560708">
        <w:rPr>
          <w:rFonts w:ascii="Times New Roman" w:hAnsi="Times New Roman"/>
          <w:sz w:val="28"/>
          <w:szCs w:val="28"/>
        </w:rPr>
        <w:t>рации.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2021 год.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08">
        <w:rPr>
          <w:rFonts w:ascii="Times New Roman" w:hAnsi="Times New Roman"/>
          <w:sz w:val="28"/>
          <w:szCs w:val="28"/>
        </w:rPr>
        <w:t>Утвержденные бюджетные назначения по расходам на 2021 год отражены в сумме 1 653 400,00 руб. Исполнение расходов бюджета Думы в 2021 году сост</w:t>
      </w:r>
      <w:r w:rsidRPr="00560708">
        <w:rPr>
          <w:rFonts w:ascii="Times New Roman" w:hAnsi="Times New Roman"/>
          <w:sz w:val="28"/>
          <w:szCs w:val="28"/>
        </w:rPr>
        <w:t>а</w:t>
      </w:r>
      <w:r w:rsidRPr="00560708">
        <w:rPr>
          <w:rFonts w:ascii="Times New Roman" w:hAnsi="Times New Roman"/>
          <w:sz w:val="28"/>
          <w:szCs w:val="28"/>
        </w:rPr>
        <w:t>вило 1 604 958,99 руб., или 97,07% утвержденных бюджетных назначений.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08">
        <w:rPr>
          <w:rFonts w:ascii="Times New Roman" w:hAnsi="Times New Roman"/>
          <w:sz w:val="28"/>
          <w:szCs w:val="28"/>
        </w:rPr>
        <w:t>Общее неисполнение бюджетных назначений по расходам за 2021 год с</w:t>
      </w:r>
      <w:r w:rsidRPr="00560708">
        <w:rPr>
          <w:rFonts w:ascii="Times New Roman" w:hAnsi="Times New Roman"/>
          <w:sz w:val="28"/>
          <w:szCs w:val="28"/>
        </w:rPr>
        <w:t>о</w:t>
      </w:r>
      <w:r w:rsidRPr="00560708">
        <w:rPr>
          <w:rFonts w:ascii="Times New Roman" w:hAnsi="Times New Roman"/>
          <w:sz w:val="28"/>
          <w:szCs w:val="28"/>
        </w:rPr>
        <w:t>ставило 48 441,01 руб.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560708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01.01.2022 нарушений не выявила.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560708">
        <w:rPr>
          <w:rFonts w:ascii="Times New Roman" w:hAnsi="Times New Roman"/>
          <w:sz w:val="28"/>
          <w:szCs w:val="28"/>
        </w:rPr>
        <w:t>(ф. 0503127)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08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560708">
        <w:rPr>
          <w:rFonts w:ascii="Times New Roman" w:hAnsi="Times New Roman"/>
          <w:sz w:val="28"/>
          <w:szCs w:val="28"/>
        </w:rPr>
        <w:t>а</w:t>
      </w:r>
      <w:r w:rsidRPr="00560708">
        <w:rPr>
          <w:rFonts w:ascii="Times New Roman" w:hAnsi="Times New Roman"/>
          <w:sz w:val="28"/>
          <w:szCs w:val="28"/>
        </w:rPr>
        <w:t>тельствах.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0708">
        <w:rPr>
          <w:rFonts w:ascii="Times New Roman" w:hAnsi="Times New Roman"/>
          <w:spacing w:val="-4"/>
          <w:sz w:val="28"/>
          <w:szCs w:val="28"/>
        </w:rPr>
        <w:t>Данные показателей формы Отчета о бюджетных обязательствах (ф. 0503128) соответствуют данным формы Отчета об исполнении бюджета (ф. 0503127).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08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Pr="00560708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Баланса (ф.0503130) в части резервов предстоящих расходов.</w:t>
      </w:r>
    </w:p>
    <w:p w:rsidR="00560708" w:rsidRPr="00560708" w:rsidRDefault="00560708" w:rsidP="00A05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560708" w:rsidRPr="00560708" w:rsidRDefault="00560708" w:rsidP="00A05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163 Инструкции № 191н в разделе 3 «Анализ отчета об исполнении бюджета субъектом бюджетной отчетности» текстовой части поясн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записки (ф. 0503160) не раскрыта информация о причинах отклонения от планового процента исполнения, отраженная в графе 8 </w:t>
      </w:r>
      <w:hyperlink r:id="rId10" w:anchor="Par14331" w:tooltip="2. Расходы бюджета, всего" w:history="1">
        <w:r w:rsidRPr="00560708">
          <w:rPr>
            <w:rFonts w:ascii="Times New Roman" w:eastAsia="Times New Roman" w:hAnsi="Times New Roman"/>
            <w:sz w:val="28"/>
            <w:szCs w:val="28"/>
            <w:lang w:eastAsia="ru-RU"/>
          </w:rPr>
          <w:t>раздела 2</w:t>
        </w:r>
      </w:hyperlink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«Расходы бю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жета» Сведений (ф. 0503164) по коду 99 «Иные причины»</w:t>
      </w:r>
      <w:r w:rsidRPr="005607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01.01.2022, расхождений не установлено. Б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лансовая стоимость основных средств по состоянию на 01.01.2021 составляла 60 640,00 руб., по состоянию на 01.01.2022 увеличилась на 21 900,00 руб. и сост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вила 82 540,00 руб.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Амортизация основных средств по бюджетной деятельности на 01.01.2022 по данным Баланса (ф. 0503130) составила 82 540,00 руб., что также соответствует да</w:t>
      </w:r>
      <w:r w:rsidRPr="005607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5607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ным, отраженным в Сведениях о движении нефинансовых активов (ф. 0503168).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Стоимость материальных запасов по состоянию на 01.01.2021 составляла 4 728,26 руб., а на 01.01.2022 увеличилась на 14 381,50 руб. и составила 19 109,76 руб., что соответствует данным об остатках материальных запасов, отраженных в Балансе (ф. 0503130) и Сведениях о движении нефинансовых активов (ф. 0503168).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08">
        <w:rPr>
          <w:rFonts w:ascii="Times New Roman" w:hAnsi="Times New Roman"/>
          <w:sz w:val="28"/>
          <w:szCs w:val="28"/>
        </w:rPr>
        <w:t>Дебиторская задолженность по бюджетной деятельности согласно Сведен</w:t>
      </w:r>
      <w:r w:rsidRPr="00560708">
        <w:rPr>
          <w:rFonts w:ascii="Times New Roman" w:hAnsi="Times New Roman"/>
          <w:sz w:val="28"/>
          <w:szCs w:val="28"/>
        </w:rPr>
        <w:t>и</w:t>
      </w:r>
      <w:r w:rsidRPr="00560708">
        <w:rPr>
          <w:rFonts w:ascii="Times New Roman" w:hAnsi="Times New Roman"/>
          <w:sz w:val="28"/>
          <w:szCs w:val="28"/>
        </w:rPr>
        <w:t>ям о дебиторской и кредиторской задолженности (вид задолженности – дебито</w:t>
      </w:r>
      <w:r w:rsidRPr="00560708">
        <w:rPr>
          <w:rFonts w:ascii="Times New Roman" w:hAnsi="Times New Roman"/>
          <w:sz w:val="28"/>
          <w:szCs w:val="28"/>
        </w:rPr>
        <w:t>р</w:t>
      </w:r>
      <w:r w:rsidRPr="00560708">
        <w:rPr>
          <w:rFonts w:ascii="Times New Roman" w:hAnsi="Times New Roman"/>
          <w:sz w:val="28"/>
          <w:szCs w:val="28"/>
        </w:rPr>
        <w:t>ская задолженность) (ф. 0503169) на 01.01.2021 составляла 0,00 руб., на 01.01.2022 также отсутствует.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0708">
        <w:rPr>
          <w:rFonts w:ascii="Times New Roman" w:hAnsi="Times New Roman"/>
          <w:spacing w:val="-6"/>
          <w:sz w:val="28"/>
          <w:szCs w:val="28"/>
        </w:rPr>
        <w:t>Кредиторская задолженность по бюджетной деятельности согласно Сведениям о дебиторской и кредиторской задолженности (вид задолженности – кредиторская з</w:t>
      </w:r>
      <w:r w:rsidRPr="00560708">
        <w:rPr>
          <w:rFonts w:ascii="Times New Roman" w:hAnsi="Times New Roman"/>
          <w:spacing w:val="-6"/>
          <w:sz w:val="28"/>
          <w:szCs w:val="28"/>
        </w:rPr>
        <w:t>а</w:t>
      </w:r>
      <w:r w:rsidRPr="00560708">
        <w:rPr>
          <w:rFonts w:ascii="Times New Roman" w:hAnsi="Times New Roman"/>
          <w:spacing w:val="-6"/>
          <w:sz w:val="28"/>
          <w:szCs w:val="28"/>
        </w:rPr>
        <w:t>долженность) (ф. 0503169) на 01.01.2021 составляла 988,60 руб., а на 01.01.2022 ув</w:t>
      </w:r>
      <w:r w:rsidRPr="00560708">
        <w:rPr>
          <w:rFonts w:ascii="Times New Roman" w:hAnsi="Times New Roman"/>
          <w:spacing w:val="-6"/>
          <w:sz w:val="28"/>
          <w:szCs w:val="28"/>
        </w:rPr>
        <w:t>е</w:t>
      </w:r>
      <w:r w:rsidRPr="00560708">
        <w:rPr>
          <w:rFonts w:ascii="Times New Roman" w:hAnsi="Times New Roman"/>
          <w:spacing w:val="-6"/>
          <w:sz w:val="28"/>
          <w:szCs w:val="28"/>
        </w:rPr>
        <w:t>личилась на 4 423,58 руб., или на 447,4%, и составила 5 412,18 руб., в том числе: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0708">
        <w:rPr>
          <w:rFonts w:ascii="Times New Roman" w:hAnsi="Times New Roman"/>
          <w:spacing w:val="-6"/>
          <w:sz w:val="28"/>
          <w:szCs w:val="28"/>
        </w:rPr>
        <w:t>- по счету 130221000 в сумме 2 412,18 руб. за услуги связи за декабрь 2021 года;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08">
        <w:rPr>
          <w:rFonts w:ascii="Times New Roman" w:hAnsi="Times New Roman"/>
          <w:sz w:val="28"/>
          <w:szCs w:val="28"/>
        </w:rPr>
        <w:t>- по счету 130226000 в сумме 3 000,00 руб. по возмещению расходов деп</w:t>
      </w:r>
      <w:r w:rsidRPr="00560708">
        <w:rPr>
          <w:rFonts w:ascii="Times New Roman" w:hAnsi="Times New Roman"/>
          <w:sz w:val="28"/>
          <w:szCs w:val="28"/>
        </w:rPr>
        <w:t>у</w:t>
      </w:r>
      <w:r w:rsidRPr="00560708">
        <w:rPr>
          <w:rFonts w:ascii="Times New Roman" w:hAnsi="Times New Roman"/>
          <w:sz w:val="28"/>
          <w:szCs w:val="28"/>
        </w:rPr>
        <w:t>тата за декабрь 2021 года.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08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560708">
        <w:rPr>
          <w:rFonts w:ascii="Times New Roman" w:hAnsi="Times New Roman"/>
          <w:sz w:val="28"/>
          <w:szCs w:val="28"/>
        </w:rPr>
        <w:t>е</w:t>
      </w:r>
      <w:r w:rsidRPr="00560708">
        <w:rPr>
          <w:rFonts w:ascii="Times New Roman" w:hAnsi="Times New Roman"/>
          <w:sz w:val="28"/>
          <w:szCs w:val="28"/>
        </w:rPr>
        <w:t>ниях о дебиторской и кредиторской задолженности (ф. 0503169), соответствуют показателям, указанным в Балансе (ф. 0503130). Просроченная задолженность о</w:t>
      </w:r>
      <w:r w:rsidRPr="00560708">
        <w:rPr>
          <w:rFonts w:ascii="Times New Roman" w:hAnsi="Times New Roman"/>
          <w:sz w:val="28"/>
          <w:szCs w:val="28"/>
        </w:rPr>
        <w:t>т</w:t>
      </w:r>
      <w:r w:rsidRPr="00560708">
        <w:rPr>
          <w:rFonts w:ascii="Times New Roman" w:hAnsi="Times New Roman"/>
          <w:sz w:val="28"/>
          <w:szCs w:val="28"/>
        </w:rPr>
        <w:t>сутствует.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08">
        <w:rPr>
          <w:rFonts w:ascii="Times New Roman" w:hAnsi="Times New Roman"/>
          <w:sz w:val="28"/>
          <w:szCs w:val="28"/>
        </w:rPr>
        <w:t xml:space="preserve">Проверка 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об изменении остатков валюты баланса </w:t>
      </w:r>
      <w:hyperlink r:id="rId11" w:history="1">
        <w:r w:rsidRPr="00560708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показала, что валюта баланса не изменилась, показатели отсутствуют.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- сведения о проведении инвентаризаций (Таблица № 6);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сведения о финансовых вложениях получателя бюджетных средств, адм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 0503171);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12" w:history="1">
        <w:r w:rsidRPr="00560708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3" w:history="1">
        <w:r w:rsidRPr="00560708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- сведения о принятых и неисполненных обязательствах получателя бю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жетных средств </w:t>
      </w:r>
      <w:hyperlink r:id="rId14" w:history="1">
        <w:r w:rsidRPr="00560708">
          <w:rPr>
            <w:rFonts w:ascii="Times New Roman" w:eastAsia="Times New Roman" w:hAnsi="Times New Roman"/>
            <w:sz w:val="28"/>
            <w:szCs w:val="28"/>
            <w:lang w:eastAsia="ru-RU"/>
          </w:rPr>
          <w:t>(ф. 0503175)</w:t>
        </w:r>
      </w:hyperlink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5" w:history="1">
        <w:r w:rsidRPr="00560708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- сведения о вложениях в объекты недвижимого имущества, объектах нез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6" w:anchor="l6943" w:history="1">
        <w:r w:rsidRPr="00560708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60708" w:rsidRPr="00560708" w:rsidRDefault="00560708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hyperlink r:id="rId17" w:history="1">
        <w:r w:rsidRPr="00560708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Pr="005607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7CB" w:rsidRPr="007607CB" w:rsidRDefault="007607CB" w:rsidP="009378F8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Default="00806751" w:rsidP="009378F8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560708" w:rsidRPr="0055699A" w:rsidRDefault="00560708" w:rsidP="009378F8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5C95" w:rsidRPr="001D5C95" w:rsidRDefault="001D5C95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1. Утвержденные бюджетные назначения Думы по расходам на 2021 год с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ставили 1 653</w:t>
      </w:r>
      <w:r w:rsidRPr="001D5C95">
        <w:rPr>
          <w:rFonts w:ascii="Times New Roman" w:hAnsi="Times New Roman"/>
          <w:sz w:val="28"/>
          <w:szCs w:val="28"/>
        </w:rPr>
        <w:t> 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400,00 руб. Фактическое исполнение по расходам в 2021 году с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ставило 1 604</w:t>
      </w:r>
      <w:r w:rsidRPr="001D5C95">
        <w:rPr>
          <w:rFonts w:ascii="Times New Roman" w:hAnsi="Times New Roman"/>
          <w:sz w:val="28"/>
          <w:szCs w:val="28"/>
        </w:rPr>
        <w:t> 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958,99 руб., или 97,07%.</w:t>
      </w:r>
    </w:p>
    <w:p w:rsidR="001D5C95" w:rsidRPr="001D5C95" w:rsidRDefault="001D5C95" w:rsidP="00A05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Состав форм бюджетной отчетности Думы соответствует требованиям </w:t>
      </w:r>
      <w:r w:rsidRPr="001D5C95">
        <w:rPr>
          <w:rFonts w:ascii="Times New Roman" w:hAnsi="Times New Roman"/>
          <w:sz w:val="28"/>
          <w:szCs w:val="28"/>
        </w:rPr>
        <w:t>Инструкции № 191н. Фактов неполноты бюджетной отчетности не установлено.</w:t>
      </w:r>
    </w:p>
    <w:p w:rsidR="001D5C95" w:rsidRPr="001D5C95" w:rsidRDefault="001D5C95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1D5C95" w:rsidRPr="001D5C95" w:rsidRDefault="001D5C95" w:rsidP="00A05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4. В нарушение пункта 163 Инструкции № 191н в разделе 3 «Анализ отчета об исполнении бюджета субъектом бюджетной отчетности» текстовой части П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яснительной записки (ф. 0503160) не раскрыта информация о причинах отклон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от планового процента исполнения, отраженная в графе 8 </w:t>
      </w:r>
      <w:hyperlink r:id="rId18" w:anchor="Par14331" w:tooltip="2. Расходы бюджета, всего" w:history="1">
        <w:r w:rsidRPr="001D5C95">
          <w:rPr>
            <w:rFonts w:ascii="Times New Roman" w:eastAsia="Times New Roman" w:hAnsi="Times New Roman"/>
            <w:sz w:val="28"/>
            <w:szCs w:val="28"/>
            <w:lang w:eastAsia="ru-RU"/>
          </w:rPr>
          <w:t>раздела 2</w:t>
        </w:r>
      </w:hyperlink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«Расходы бюджета» Сведений (ф. 0503164) по коду 99 «Иные причины»</w:t>
      </w:r>
      <w:r w:rsidRPr="001D5C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5C95" w:rsidRPr="001D5C95" w:rsidRDefault="001D5C95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выявлены нарушения, в целом не оказавшие влияния на достоверность бюджетной отчетности Думы за 2021 год.</w:t>
      </w:r>
    </w:p>
    <w:p w:rsidR="009378F8" w:rsidRDefault="009378F8" w:rsidP="009378F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C95" w:rsidRPr="001D5C95" w:rsidRDefault="001D5C95" w:rsidP="00A0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95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2021 год главного администратора бюджетных средств Думы Суксунского городского округа дает основание полагать, что отчетность является достоверной.</w:t>
      </w:r>
    </w:p>
    <w:p w:rsidR="004A76F4" w:rsidRPr="004A76F4" w:rsidRDefault="004A76F4" w:rsidP="009378F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9378F8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A05432" w:rsidRPr="0055699A" w:rsidRDefault="00A05432" w:rsidP="009378F8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39" w:rsidRPr="001814CA" w:rsidRDefault="004D3439" w:rsidP="00A0543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CA">
        <w:rPr>
          <w:rFonts w:ascii="Times New Roman" w:eastAsia="Times New Roman" w:hAnsi="Times New Roman"/>
          <w:sz w:val="28"/>
          <w:szCs w:val="28"/>
          <w:lang w:eastAsia="ru-RU"/>
        </w:rPr>
        <w:t>1. Направить представление Контрольно-счетной палаты Суксунского г</w:t>
      </w:r>
      <w:r w:rsidRPr="00181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14CA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3D08E2" w:rsidRPr="001814CA">
        <w:rPr>
          <w:rFonts w:ascii="Times New Roman" w:eastAsia="Times New Roman" w:hAnsi="Times New Roman"/>
          <w:sz w:val="28"/>
          <w:szCs w:val="28"/>
          <w:lang w:eastAsia="ru-RU"/>
        </w:rPr>
        <w:t>Думу Суксунского городского округа.</w:t>
      </w:r>
    </w:p>
    <w:p w:rsidR="00544F2D" w:rsidRPr="003E0424" w:rsidRDefault="004D3439" w:rsidP="00A0543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59B3" w:rsidRPr="001814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23FB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8F8" w:rsidRDefault="009378F8" w:rsidP="009378F8">
      <w:pPr>
        <w:pStyle w:val="21"/>
        <w:spacing w:line="240" w:lineRule="exact"/>
      </w:pPr>
    </w:p>
    <w:p w:rsidR="009378F8" w:rsidRPr="006D2F8D" w:rsidRDefault="009378F8" w:rsidP="009378F8">
      <w:pPr>
        <w:pStyle w:val="21"/>
        <w:spacing w:line="240" w:lineRule="exact"/>
      </w:pPr>
    </w:p>
    <w:p w:rsidR="009378F8" w:rsidRPr="006D2F8D" w:rsidRDefault="009378F8" w:rsidP="009378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9378F8" w:rsidRPr="006D2F8D" w:rsidRDefault="009378F8" w:rsidP="009378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 О.Г. Туголукова</w:t>
      </w:r>
    </w:p>
    <w:sectPr w:rsidR="009378F8" w:rsidRPr="006D2F8D" w:rsidSect="00BC1BA7">
      <w:headerReference w:type="default" r:id="rId19"/>
      <w:headerReference w:type="firs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98" w:rsidRDefault="002E3698" w:rsidP="004F76E4">
      <w:pPr>
        <w:spacing w:after="0" w:line="240" w:lineRule="auto"/>
      </w:pPr>
      <w:r>
        <w:separator/>
      </w:r>
    </w:p>
  </w:endnote>
  <w:endnote w:type="continuationSeparator" w:id="0">
    <w:p w:rsidR="002E3698" w:rsidRDefault="002E3698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98" w:rsidRDefault="002E3698" w:rsidP="004F76E4">
      <w:pPr>
        <w:spacing w:after="0" w:line="240" w:lineRule="auto"/>
      </w:pPr>
      <w:r>
        <w:separator/>
      </w:r>
    </w:p>
  </w:footnote>
  <w:footnote w:type="continuationSeparator" w:id="0">
    <w:p w:rsidR="002E3698" w:rsidRDefault="002E3698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4A0" w:rsidRPr="00255904" w:rsidRDefault="002E04A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131623">
          <w:rPr>
            <w:rFonts w:ascii="Times New Roman" w:hAnsi="Times New Roman"/>
            <w:noProof/>
            <w:sz w:val="28"/>
            <w:szCs w:val="28"/>
          </w:rPr>
          <w:t>7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4A0" w:rsidRDefault="002E04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0" w:rsidRDefault="002E04A0">
    <w:pPr>
      <w:pStyle w:val="aa"/>
      <w:jc w:val="center"/>
    </w:pPr>
  </w:p>
  <w:p w:rsidR="002E04A0" w:rsidRDefault="002E04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32C5E"/>
    <w:multiLevelType w:val="hybridMultilevel"/>
    <w:tmpl w:val="61B83B38"/>
    <w:lvl w:ilvl="0" w:tplc="6074DF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8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0"/>
  </w:num>
  <w:num w:numId="12">
    <w:abstractNumId w:val="24"/>
  </w:num>
  <w:num w:numId="13">
    <w:abstractNumId w:val="14"/>
  </w:num>
  <w:num w:numId="14">
    <w:abstractNumId w:val="9"/>
  </w:num>
  <w:num w:numId="15">
    <w:abstractNumId w:val="15"/>
  </w:num>
  <w:num w:numId="16">
    <w:abstractNumId w:val="20"/>
  </w:num>
  <w:num w:numId="17">
    <w:abstractNumId w:val="0"/>
  </w:num>
  <w:num w:numId="18">
    <w:abstractNumId w:val="12"/>
  </w:num>
  <w:num w:numId="19">
    <w:abstractNumId w:val="6"/>
  </w:num>
  <w:num w:numId="20">
    <w:abstractNumId w:val="19"/>
  </w:num>
  <w:num w:numId="21">
    <w:abstractNumId w:val="2"/>
  </w:num>
  <w:num w:numId="22">
    <w:abstractNumId w:val="11"/>
  </w:num>
  <w:num w:numId="23">
    <w:abstractNumId w:val="8"/>
  </w:num>
  <w:num w:numId="24">
    <w:abstractNumId w:val="7"/>
  </w:num>
  <w:num w:numId="25">
    <w:abstractNumId w:val="3"/>
  </w:num>
  <w:num w:numId="26">
    <w:abstractNumId w:val="23"/>
  </w:num>
  <w:num w:numId="27">
    <w:abstractNumId w:val="26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7FE5"/>
    <w:rsid w:val="000525A1"/>
    <w:rsid w:val="00057264"/>
    <w:rsid w:val="00061881"/>
    <w:rsid w:val="000624CB"/>
    <w:rsid w:val="0006361C"/>
    <w:rsid w:val="00066E91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5977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4C8F"/>
    <w:rsid w:val="000D5502"/>
    <w:rsid w:val="000D71E0"/>
    <w:rsid w:val="000D745C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623"/>
    <w:rsid w:val="00131C16"/>
    <w:rsid w:val="0013386A"/>
    <w:rsid w:val="00134EE1"/>
    <w:rsid w:val="001356A0"/>
    <w:rsid w:val="00137F31"/>
    <w:rsid w:val="00140CD5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69F8"/>
    <w:rsid w:val="00173A3B"/>
    <w:rsid w:val="0017411B"/>
    <w:rsid w:val="001814CA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C56"/>
    <w:rsid w:val="001B7EB3"/>
    <w:rsid w:val="001B7F56"/>
    <w:rsid w:val="001C16A7"/>
    <w:rsid w:val="001C2316"/>
    <w:rsid w:val="001D1470"/>
    <w:rsid w:val="001D2E80"/>
    <w:rsid w:val="001D3F7E"/>
    <w:rsid w:val="001D420C"/>
    <w:rsid w:val="001D5C95"/>
    <w:rsid w:val="001D6280"/>
    <w:rsid w:val="001D7225"/>
    <w:rsid w:val="001E05D0"/>
    <w:rsid w:val="001E2E57"/>
    <w:rsid w:val="001E6904"/>
    <w:rsid w:val="001F328E"/>
    <w:rsid w:val="001F34A6"/>
    <w:rsid w:val="001F384D"/>
    <w:rsid w:val="001F6662"/>
    <w:rsid w:val="0020408F"/>
    <w:rsid w:val="00205D34"/>
    <w:rsid w:val="0020661C"/>
    <w:rsid w:val="002072A9"/>
    <w:rsid w:val="0021059C"/>
    <w:rsid w:val="00211A25"/>
    <w:rsid w:val="0021258F"/>
    <w:rsid w:val="00221C92"/>
    <w:rsid w:val="00225A2C"/>
    <w:rsid w:val="0023165D"/>
    <w:rsid w:val="00233452"/>
    <w:rsid w:val="00236C69"/>
    <w:rsid w:val="00240B4C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B637C"/>
    <w:rsid w:val="002C006C"/>
    <w:rsid w:val="002C07E3"/>
    <w:rsid w:val="002C0A2F"/>
    <w:rsid w:val="002C2CDA"/>
    <w:rsid w:val="002C3015"/>
    <w:rsid w:val="002C3F2E"/>
    <w:rsid w:val="002C4D52"/>
    <w:rsid w:val="002C58E2"/>
    <w:rsid w:val="002D0A4D"/>
    <w:rsid w:val="002E04A0"/>
    <w:rsid w:val="002E1B13"/>
    <w:rsid w:val="002E2216"/>
    <w:rsid w:val="002E2FDC"/>
    <w:rsid w:val="002E3644"/>
    <w:rsid w:val="002E3698"/>
    <w:rsid w:val="002F0E9A"/>
    <w:rsid w:val="002F223D"/>
    <w:rsid w:val="002F76AE"/>
    <w:rsid w:val="00301493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291A"/>
    <w:rsid w:val="003B3AB9"/>
    <w:rsid w:val="003B4830"/>
    <w:rsid w:val="003B4ABF"/>
    <w:rsid w:val="003B5078"/>
    <w:rsid w:val="003B605E"/>
    <w:rsid w:val="003B7148"/>
    <w:rsid w:val="003C5775"/>
    <w:rsid w:val="003D052C"/>
    <w:rsid w:val="003D08E2"/>
    <w:rsid w:val="003D180B"/>
    <w:rsid w:val="003D2A9B"/>
    <w:rsid w:val="003D5C81"/>
    <w:rsid w:val="003E0424"/>
    <w:rsid w:val="003E4C05"/>
    <w:rsid w:val="003E4E33"/>
    <w:rsid w:val="003F0211"/>
    <w:rsid w:val="003F15F6"/>
    <w:rsid w:val="003F26C8"/>
    <w:rsid w:val="003F4806"/>
    <w:rsid w:val="003F5D56"/>
    <w:rsid w:val="003F685F"/>
    <w:rsid w:val="00403055"/>
    <w:rsid w:val="00403322"/>
    <w:rsid w:val="004052E6"/>
    <w:rsid w:val="00405546"/>
    <w:rsid w:val="00405D70"/>
    <w:rsid w:val="00405DC6"/>
    <w:rsid w:val="004071A4"/>
    <w:rsid w:val="00414699"/>
    <w:rsid w:val="00414CCA"/>
    <w:rsid w:val="004160D7"/>
    <w:rsid w:val="00416D7D"/>
    <w:rsid w:val="00423FBC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A5B"/>
    <w:rsid w:val="004674E9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A76F4"/>
    <w:rsid w:val="004B2ED4"/>
    <w:rsid w:val="004B3EB8"/>
    <w:rsid w:val="004B6BBA"/>
    <w:rsid w:val="004B7753"/>
    <w:rsid w:val="004C1D00"/>
    <w:rsid w:val="004C21DA"/>
    <w:rsid w:val="004C5C4E"/>
    <w:rsid w:val="004D3439"/>
    <w:rsid w:val="004D4E33"/>
    <w:rsid w:val="004D7EF1"/>
    <w:rsid w:val="004E1422"/>
    <w:rsid w:val="004E40B7"/>
    <w:rsid w:val="004E47DB"/>
    <w:rsid w:val="004E7D50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37D1F"/>
    <w:rsid w:val="00540EE9"/>
    <w:rsid w:val="00544F2D"/>
    <w:rsid w:val="005526EC"/>
    <w:rsid w:val="00553589"/>
    <w:rsid w:val="00555303"/>
    <w:rsid w:val="00555E2E"/>
    <w:rsid w:val="0055699A"/>
    <w:rsid w:val="00560340"/>
    <w:rsid w:val="00560369"/>
    <w:rsid w:val="00560708"/>
    <w:rsid w:val="005632AA"/>
    <w:rsid w:val="00564CBC"/>
    <w:rsid w:val="005705E6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2ED9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300B"/>
    <w:rsid w:val="00667142"/>
    <w:rsid w:val="00667A5C"/>
    <w:rsid w:val="00670618"/>
    <w:rsid w:val="00670ECB"/>
    <w:rsid w:val="00671805"/>
    <w:rsid w:val="00672239"/>
    <w:rsid w:val="00681605"/>
    <w:rsid w:val="0068616D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F0A07"/>
    <w:rsid w:val="00700586"/>
    <w:rsid w:val="00703181"/>
    <w:rsid w:val="0070618B"/>
    <w:rsid w:val="00710F9B"/>
    <w:rsid w:val="00711313"/>
    <w:rsid w:val="00713686"/>
    <w:rsid w:val="007203F2"/>
    <w:rsid w:val="00722780"/>
    <w:rsid w:val="00722E3B"/>
    <w:rsid w:val="00731888"/>
    <w:rsid w:val="00732B33"/>
    <w:rsid w:val="007346CD"/>
    <w:rsid w:val="0073751D"/>
    <w:rsid w:val="00737539"/>
    <w:rsid w:val="00746406"/>
    <w:rsid w:val="00756890"/>
    <w:rsid w:val="007607CB"/>
    <w:rsid w:val="007624D6"/>
    <w:rsid w:val="00762C71"/>
    <w:rsid w:val="00765471"/>
    <w:rsid w:val="00770E94"/>
    <w:rsid w:val="00771EEF"/>
    <w:rsid w:val="00774C01"/>
    <w:rsid w:val="0077713A"/>
    <w:rsid w:val="00785A04"/>
    <w:rsid w:val="007926AD"/>
    <w:rsid w:val="00793E7F"/>
    <w:rsid w:val="00794277"/>
    <w:rsid w:val="0079499D"/>
    <w:rsid w:val="00795ACB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20E9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3285"/>
    <w:rsid w:val="00824966"/>
    <w:rsid w:val="008258DB"/>
    <w:rsid w:val="00825FF2"/>
    <w:rsid w:val="008325F7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81395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B6EB3"/>
    <w:rsid w:val="008C0954"/>
    <w:rsid w:val="008C2375"/>
    <w:rsid w:val="008C5267"/>
    <w:rsid w:val="008D3F30"/>
    <w:rsid w:val="008E0EDA"/>
    <w:rsid w:val="008E252B"/>
    <w:rsid w:val="008E2DE6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4E43"/>
    <w:rsid w:val="00925FF0"/>
    <w:rsid w:val="0093120C"/>
    <w:rsid w:val="009378F8"/>
    <w:rsid w:val="009422E1"/>
    <w:rsid w:val="009447A0"/>
    <w:rsid w:val="00945101"/>
    <w:rsid w:val="00962201"/>
    <w:rsid w:val="00963A4E"/>
    <w:rsid w:val="00966779"/>
    <w:rsid w:val="00975265"/>
    <w:rsid w:val="00976B0E"/>
    <w:rsid w:val="00980E8E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4F7B"/>
    <w:rsid w:val="009D5116"/>
    <w:rsid w:val="009D5504"/>
    <w:rsid w:val="009D6985"/>
    <w:rsid w:val="009D7FCD"/>
    <w:rsid w:val="009E019E"/>
    <w:rsid w:val="009E25A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05432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E1B"/>
    <w:rsid w:val="00A755FF"/>
    <w:rsid w:val="00A816AB"/>
    <w:rsid w:val="00A92511"/>
    <w:rsid w:val="00A92C6C"/>
    <w:rsid w:val="00A92CC2"/>
    <w:rsid w:val="00A93A1C"/>
    <w:rsid w:val="00A9520D"/>
    <w:rsid w:val="00A95598"/>
    <w:rsid w:val="00AA0C4F"/>
    <w:rsid w:val="00AA13E8"/>
    <w:rsid w:val="00AA2EF3"/>
    <w:rsid w:val="00AA59DD"/>
    <w:rsid w:val="00AB05A4"/>
    <w:rsid w:val="00AB26AA"/>
    <w:rsid w:val="00AB3D99"/>
    <w:rsid w:val="00AB45BF"/>
    <w:rsid w:val="00AB7CCA"/>
    <w:rsid w:val="00AC1042"/>
    <w:rsid w:val="00AC664C"/>
    <w:rsid w:val="00AC68D3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5BCC"/>
    <w:rsid w:val="00B16061"/>
    <w:rsid w:val="00B165DF"/>
    <w:rsid w:val="00B23960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96934"/>
    <w:rsid w:val="00BA3303"/>
    <w:rsid w:val="00BA4A4E"/>
    <w:rsid w:val="00BB38B6"/>
    <w:rsid w:val="00BB523A"/>
    <w:rsid w:val="00BB67F1"/>
    <w:rsid w:val="00BB71F1"/>
    <w:rsid w:val="00BC0C8C"/>
    <w:rsid w:val="00BC1BA7"/>
    <w:rsid w:val="00BC1C7A"/>
    <w:rsid w:val="00BC3BD3"/>
    <w:rsid w:val="00BC461C"/>
    <w:rsid w:val="00BC714E"/>
    <w:rsid w:val="00BD47B9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10A0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D7700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2329B"/>
    <w:rsid w:val="00D256B8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5630"/>
    <w:rsid w:val="00D70957"/>
    <w:rsid w:val="00D70F4E"/>
    <w:rsid w:val="00D718BE"/>
    <w:rsid w:val="00D73D01"/>
    <w:rsid w:val="00D82D27"/>
    <w:rsid w:val="00D840EC"/>
    <w:rsid w:val="00D84D12"/>
    <w:rsid w:val="00D84EC7"/>
    <w:rsid w:val="00D8603E"/>
    <w:rsid w:val="00D86D70"/>
    <w:rsid w:val="00D903AE"/>
    <w:rsid w:val="00D937BF"/>
    <w:rsid w:val="00D97155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7953"/>
    <w:rsid w:val="00DE28F8"/>
    <w:rsid w:val="00DF1E7C"/>
    <w:rsid w:val="00DF357D"/>
    <w:rsid w:val="00E01049"/>
    <w:rsid w:val="00E019FA"/>
    <w:rsid w:val="00E040F6"/>
    <w:rsid w:val="00E07708"/>
    <w:rsid w:val="00E15401"/>
    <w:rsid w:val="00E211E7"/>
    <w:rsid w:val="00E24214"/>
    <w:rsid w:val="00E256D1"/>
    <w:rsid w:val="00E31921"/>
    <w:rsid w:val="00E3757E"/>
    <w:rsid w:val="00E41406"/>
    <w:rsid w:val="00E52FDC"/>
    <w:rsid w:val="00E574C9"/>
    <w:rsid w:val="00E62941"/>
    <w:rsid w:val="00E63C44"/>
    <w:rsid w:val="00E64BCF"/>
    <w:rsid w:val="00E746AB"/>
    <w:rsid w:val="00E82658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27878"/>
    <w:rsid w:val="00F30615"/>
    <w:rsid w:val="00F361CF"/>
    <w:rsid w:val="00F417BE"/>
    <w:rsid w:val="00F41E39"/>
    <w:rsid w:val="00F45998"/>
    <w:rsid w:val="00F46516"/>
    <w:rsid w:val="00F51E27"/>
    <w:rsid w:val="00F52332"/>
    <w:rsid w:val="00F5542B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65BC"/>
    <w:rsid w:val="00FD7B3B"/>
    <w:rsid w:val="00FE675B"/>
    <w:rsid w:val="00FE7122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8" Type="http://schemas.openxmlformats.org/officeDocument/2006/relationships/hyperlink" Target="file:///C:\Users\Admin\Desktop\&#1085;&#1086;&#1088;&#1084;&#1072;&#1090;&#1080;&#1074;&#1082;&#1072;%202022\&#1055;&#1088;&#1080;&#1082;&#1072;&#1079;%20&#1052;&#1080;&#1085;&#1092;&#1080;&#1085;&#1072;%20&#1056;&#1086;&#1089;&#1089;&#1080;&#1080;%20&#1086;&#1090;%2028.12.2010%20N%20191&#1085;%20(&#1088;&#1077;&#1076;.%20&#1086;&#1090;%2021.12.20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7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5755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0" Type="http://schemas.openxmlformats.org/officeDocument/2006/relationships/hyperlink" Target="file:///C:\Users\Admin\Desktop\&#1085;&#1086;&#1088;&#1084;&#1072;&#1090;&#1080;&#1074;&#1082;&#1072;%202022\&#1055;&#1088;&#1080;&#1082;&#1072;&#1079;%20&#1052;&#1080;&#1085;&#1092;&#1080;&#1085;&#1072;%20&#1056;&#1086;&#1089;&#1089;&#1080;&#1080;%20&#1086;&#1090;%2028.12.2010%20N%20191&#1085;%20(&#1088;&#1077;&#1076;.%20&#1086;&#1090;%2021.12.20.rt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4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D559-802A-476B-AB9E-4046F328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247</cp:revision>
  <cp:lastPrinted>2022-04-27T10:29:00Z</cp:lastPrinted>
  <dcterms:created xsi:type="dcterms:W3CDTF">2018-08-17T10:08:00Z</dcterms:created>
  <dcterms:modified xsi:type="dcterms:W3CDTF">2022-04-27T10:29:00Z</dcterms:modified>
</cp:coreProperties>
</file>