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886415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  <w:r w:rsidR="00D3315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86415">
        <w:rPr>
          <w:rFonts w:ascii="Times New Roman" w:hAnsi="Times New Roman"/>
          <w:b/>
          <w:sz w:val="28"/>
          <w:szCs w:val="28"/>
        </w:rPr>
        <w:t>Контрольно-счетной</w:t>
      </w:r>
      <w:proofErr w:type="gramEnd"/>
      <w:r w:rsidR="00886415">
        <w:rPr>
          <w:rFonts w:ascii="Times New Roman" w:hAnsi="Times New Roman"/>
          <w:b/>
          <w:sz w:val="28"/>
          <w:szCs w:val="28"/>
        </w:rPr>
        <w:t xml:space="preserve"> </w:t>
      </w:r>
    </w:p>
    <w:p w:rsidR="00B75DCF" w:rsidRPr="00B75DCF" w:rsidRDefault="00886415" w:rsidP="0088641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палаты</w:t>
      </w:r>
      <w:r w:rsidR="00D3315F">
        <w:rPr>
          <w:rFonts w:ascii="Times New Roman" w:hAnsi="Times New Roman"/>
          <w:b/>
          <w:sz w:val="28"/>
          <w:szCs w:val="28"/>
        </w:rPr>
        <w:t xml:space="preserve"> 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Суксунского </w:t>
      </w:r>
      <w:r>
        <w:rPr>
          <w:rFonts w:ascii="Times New Roman" w:hAnsi="Times New Roman"/>
          <w:b/>
          <w:sz w:val="28"/>
          <w:szCs w:val="28"/>
        </w:rPr>
        <w:t>городск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округ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Пермского края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</w:t>
      </w:r>
      <w:r w:rsidR="004F424C">
        <w:rPr>
          <w:rFonts w:ascii="Times New Roman" w:hAnsi="Times New Roman"/>
          <w:b/>
          <w:sz w:val="28"/>
          <w:szCs w:val="28"/>
        </w:rPr>
        <w:t>2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984DDB">
        <w:rPr>
          <w:rFonts w:ascii="Times New Roman" w:hAnsi="Times New Roman"/>
          <w:sz w:val="28"/>
          <w:szCs w:val="28"/>
        </w:rPr>
        <w:t>19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984DDB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4F424C">
        <w:rPr>
          <w:rFonts w:ascii="Times New Roman" w:hAnsi="Times New Roman"/>
          <w:sz w:val="28"/>
          <w:szCs w:val="28"/>
        </w:rPr>
        <w:t>3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984DDB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984DDB">
        <w:rPr>
          <w:rFonts w:ascii="Times New Roman" w:hAnsi="Times New Roman"/>
          <w:sz w:val="28"/>
          <w:szCs w:val="28"/>
        </w:rPr>
        <w:t>3</w:t>
      </w:r>
    </w:p>
    <w:p w:rsidR="003958FB" w:rsidRPr="007C5268" w:rsidRDefault="003958FB" w:rsidP="000E16F4">
      <w:pPr>
        <w:pStyle w:val="a5"/>
        <w:tabs>
          <w:tab w:val="left" w:pos="708"/>
        </w:tabs>
        <w:rPr>
          <w:sz w:val="28"/>
          <w:szCs w:val="28"/>
        </w:rPr>
      </w:pPr>
    </w:p>
    <w:p w:rsidR="001943F2" w:rsidRDefault="001B7F56" w:rsidP="00AB45BF">
      <w:pPr>
        <w:widowControl w:val="0"/>
        <w:spacing w:before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47A7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D47A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7A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24C" w:rsidRPr="004F424C">
        <w:rPr>
          <w:rFonts w:ascii="Times New Roman" w:hAnsi="Times New Roman"/>
          <w:sz w:val="28"/>
          <w:szCs w:val="28"/>
        </w:rPr>
        <w:t>Контрольно-счетной палаты Суксунского городского округа Пермского края от 14.03.2023 № 5 «О проведении внешней проверки бюджетной отчетности Контрольно-счетной палаты Суксунского городского округа Пермского края за 2022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бюджетной о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четности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  <w:proofErr w:type="gramEnd"/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4F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642DF3" w:rsidRPr="00642DF3" w:rsidRDefault="00642DF3" w:rsidP="00642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42DF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Установить степень полноты бюджетной отчетности за 2022 год, ее соо</w:t>
      </w:r>
      <w:r w:rsidRPr="00642DF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642DF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ветствие требованиям статей 264.1, 264.2 Бюджетного кодекса Российской Федер</w:t>
      </w:r>
      <w:r w:rsidRPr="00642DF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642DF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ции (далее – БК РФ),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мы Российской Федерации, утвержденной приказом Министерства финансов Ро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от 28.12.2010 № 191н «Об утверждении Инструкции о поря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ке составления и представления годовой, квартальной и месячной</w:t>
      </w:r>
      <w:proofErr w:type="gramEnd"/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об исполнении бюджетов бюджетной системы Российской Федерации» (далее – И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струкция № 191н), по составу и содержанию.</w:t>
      </w:r>
    </w:p>
    <w:p w:rsidR="00642DF3" w:rsidRPr="00642DF3" w:rsidRDefault="00642DF3" w:rsidP="00642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642DF3" w:rsidRDefault="00642DF3" w:rsidP="00642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2022 год.</w:t>
      </w:r>
    </w:p>
    <w:p w:rsidR="00642DF3" w:rsidRPr="00642DF3" w:rsidRDefault="00642DF3" w:rsidP="00642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DF3" w:rsidRDefault="00642DF3" w:rsidP="00642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Контрол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но-счетной палаты проводилась на выборочной основе с применением принципа существенности и включала в себя анализ, сопоставление и оценку годовой бю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ГАБС, данных Финансового управления Администрации Су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 об исполнении бюджета и других м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2DF3">
        <w:rPr>
          <w:rFonts w:ascii="Times New Roman" w:eastAsia="Times New Roman" w:hAnsi="Times New Roman"/>
          <w:sz w:val="28"/>
          <w:szCs w:val="28"/>
          <w:lang w:eastAsia="ru-RU"/>
        </w:rPr>
        <w:t>териалов.</w:t>
      </w:r>
    </w:p>
    <w:p w:rsidR="00642DF3" w:rsidRPr="00642DF3" w:rsidRDefault="00642DF3" w:rsidP="00642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233452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233452">
      <w:pPr>
        <w:pStyle w:val="21"/>
        <w:widowControl w:val="0"/>
        <w:ind w:firstLine="709"/>
        <w:rPr>
          <w:b/>
        </w:rPr>
      </w:pP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Суксунского городского округа Пермского края является постоянно действующим органом внешнего муниципального финанс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вого контроля Суксунского городского округа, образована Думой Суксунского городского округа и ей подотчетна.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Контрольно-счетная палата является органом местного самоуправления Суксунского городского округа, обладает правами юридического лица, имеет ге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бовую печать и бланки со своим наименованием и с изображением герба Суксу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округа.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осуществляет свои полномочия в пределах, установленных Конституцией и действующим законодательством Российской Федерации, Пермского края, нормативными правовыми актами Суксунского г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округа, действует на основании Положения о Контрольно-счетной пал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те Суксунского городского округа Пермского края, утвержденного решением Д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мы Суксунского городского округа от 19.12.2019 № 64 «Об образовании Ко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 Суксунского городского округа Пермского края».</w:t>
      </w:r>
      <w:proofErr w:type="gramEnd"/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не имеет подведомственных участников бю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жетного процесса, учреждений и муниципальных унитарных предприятий.</w:t>
      </w:r>
    </w:p>
    <w:p w:rsidR="00CF204A" w:rsidRPr="00CF204A" w:rsidRDefault="00CF204A" w:rsidP="00CF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Контрольно-счетная палата Суксунского городского округа Пермского края.</w:t>
      </w:r>
    </w:p>
    <w:p w:rsidR="00CF204A" w:rsidRPr="00CF204A" w:rsidRDefault="00CF204A" w:rsidP="00CF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КСП Суксунского городского округа.</w:t>
      </w:r>
    </w:p>
    <w:p w:rsidR="00CF204A" w:rsidRPr="00CF204A" w:rsidRDefault="00CF204A" w:rsidP="00CF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зарегистрирована в ЕГРЮЛ 24.12.2019 года.</w:t>
      </w:r>
    </w:p>
    <w:p w:rsidR="00CF204A" w:rsidRPr="00CF204A" w:rsidRDefault="00CF204A" w:rsidP="00CF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адрес: 617560, Пермский край, Суксунский район, рабочий поселок Суксун, улица Кирова, дом 44.</w:t>
      </w:r>
    </w:p>
    <w:p w:rsidR="00CF204A" w:rsidRPr="00CF204A" w:rsidRDefault="00CF204A" w:rsidP="00CF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ИНН 5917005721, КПП 591701001.</w:t>
      </w:r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Руководителем Контрольно-счетной палаты является п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редседатель Ко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 Суксунского городского округа Пермского края Тугол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кова Ольга Геннадьевна, назначенная на должность решением Думы Суксунского городского округа от 30.09.2021 № 228 «О назначении на должность председателя Контрольно-счетной палаты Суксунского городского округа Пермского края».</w:t>
      </w:r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 Контрольно-счетной палатой заключено с МКУ «ЦБ Су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округа» Соглашение от 13.01.2020 № 11 об оказании услуг по ведению бюджетного, налогового, статистического учета, планирования бю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жетной сметы и составления отчетности.</w:t>
      </w:r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204A">
        <w:rPr>
          <w:rFonts w:ascii="Times New Roman" w:hAnsi="Times New Roman"/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CF204A">
        <w:rPr>
          <w:rFonts w:ascii="Times New Roman" w:hAnsi="Times New Roman"/>
          <w:sz w:val="28"/>
          <w:szCs w:val="28"/>
        </w:rPr>
        <w:t>х</w:t>
      </w:r>
      <w:r w:rsidRPr="00CF204A">
        <w:rPr>
          <w:rFonts w:ascii="Times New Roman" w:hAnsi="Times New Roman"/>
          <w:sz w:val="28"/>
          <w:szCs w:val="28"/>
        </w:rPr>
        <w:t xml:space="preserve">галтерских документах» (в редакции приказа МКУ «ЦБ Суксунского городского округа» от 29.04.2021 № 21) 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обязанности главного бухгалтера по ведению бю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жетного учета Контрольно-счетной палаты Суксунского городского округа Пер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ского края возложены на ведущего бухгалтера Щелконогову Наталью Юрьевну.</w:t>
      </w:r>
      <w:proofErr w:type="gramEnd"/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4A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CF204A">
        <w:rPr>
          <w:rFonts w:ascii="Times New Roman" w:hAnsi="Times New Roman"/>
          <w:sz w:val="28"/>
          <w:szCs w:val="28"/>
        </w:rPr>
        <w:t>д</w:t>
      </w:r>
      <w:r w:rsidRPr="00CF204A">
        <w:rPr>
          <w:rFonts w:ascii="Times New Roman" w:hAnsi="Times New Roman"/>
          <w:sz w:val="28"/>
          <w:szCs w:val="28"/>
        </w:rPr>
        <w:t>писи бюджетной отчетности Контрольно-счетной палаты за 2022 имеют:</w:t>
      </w:r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4A">
        <w:rPr>
          <w:rFonts w:ascii="Times New Roman" w:hAnsi="Times New Roman"/>
          <w:sz w:val="28"/>
          <w:szCs w:val="28"/>
        </w:rPr>
        <w:t>- председатель Контрольно-счетной палаты Суксунского городского округа Пермского края Туголукова Ольга Геннадьевна;</w:t>
      </w:r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4A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CF204A">
        <w:rPr>
          <w:rFonts w:ascii="Times New Roman" w:hAnsi="Times New Roman"/>
          <w:sz w:val="28"/>
          <w:szCs w:val="28"/>
        </w:rPr>
        <w:t>д</w:t>
      </w:r>
      <w:r w:rsidRPr="00CF204A">
        <w:rPr>
          <w:rFonts w:ascii="Times New Roman" w:hAnsi="Times New Roman"/>
          <w:sz w:val="28"/>
          <w:szCs w:val="28"/>
        </w:rPr>
        <w:t>мила Ивановна;</w:t>
      </w:r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4A">
        <w:rPr>
          <w:rFonts w:ascii="Times New Roman" w:hAnsi="Times New Roman"/>
          <w:sz w:val="28"/>
          <w:szCs w:val="28"/>
        </w:rPr>
        <w:t>- ведущий бухгалтер МКУ «ЦБ Суксунского городского округа» Щелкон</w:t>
      </w:r>
      <w:r w:rsidRPr="00CF204A">
        <w:rPr>
          <w:rFonts w:ascii="Times New Roman" w:hAnsi="Times New Roman"/>
          <w:sz w:val="28"/>
          <w:szCs w:val="28"/>
        </w:rPr>
        <w:t>о</w:t>
      </w:r>
      <w:r w:rsidRPr="00CF204A">
        <w:rPr>
          <w:rFonts w:ascii="Times New Roman" w:hAnsi="Times New Roman"/>
          <w:sz w:val="28"/>
          <w:szCs w:val="28"/>
        </w:rPr>
        <w:lastRenderedPageBreak/>
        <w:t>гова Наталья Юрьевна, на которую возложены обязанности главного бухгалтера по ведению бюджетного учета Контрольно-счетной палаты Суксунского горо</w:t>
      </w:r>
      <w:r w:rsidRPr="00CF204A">
        <w:rPr>
          <w:rFonts w:ascii="Times New Roman" w:hAnsi="Times New Roman"/>
          <w:sz w:val="28"/>
          <w:szCs w:val="28"/>
        </w:rPr>
        <w:t>д</w:t>
      </w:r>
      <w:r w:rsidRPr="00CF204A">
        <w:rPr>
          <w:rFonts w:ascii="Times New Roman" w:hAnsi="Times New Roman"/>
          <w:sz w:val="28"/>
          <w:szCs w:val="28"/>
        </w:rPr>
        <w:t>ского округа Пермского края.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Default="00E256D1" w:rsidP="001F328E">
      <w:pPr>
        <w:pStyle w:val="a7"/>
        <w:numPr>
          <w:ilvl w:val="0"/>
          <w:numId w:val="24"/>
        </w:numPr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C3263D">
      <w:pPr>
        <w:pStyle w:val="a7"/>
        <w:spacing w:after="0" w:line="240" w:lineRule="exact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204A" w:rsidRPr="00CF204A" w:rsidRDefault="00CF204A" w:rsidP="00CF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CF204A">
        <w:rPr>
          <w:rFonts w:ascii="Times New Roman" w:eastAsiaTheme="minorHAnsi" w:hAnsi="Times New Roman"/>
          <w:color w:val="000000"/>
          <w:sz w:val="28"/>
          <w:szCs w:val="28"/>
        </w:rPr>
        <w:t>На основании постановления Администрации Суксунского городского округа Пермского края от 10.11.2021 № 701 «</w:t>
      </w:r>
      <w:r w:rsidRPr="00CF204A">
        <w:rPr>
          <w:rFonts w:ascii="Times New Roman" w:eastAsiaTheme="minorHAnsi" w:hAnsi="Times New Roman"/>
          <w:bCs/>
          <w:color w:val="000000"/>
          <w:sz w:val="28"/>
          <w:szCs w:val="28"/>
        </w:rPr>
        <w:t>Об утверждении перечня главных администраторов доходов бюджета Суксунского городского округа, перечня главных администраторов источников финансирования дефицита бюджета Су</w:t>
      </w:r>
      <w:r w:rsidRPr="00CF204A">
        <w:rPr>
          <w:rFonts w:ascii="Times New Roman" w:eastAsiaTheme="minorHAnsi" w:hAnsi="Times New Roman"/>
          <w:bCs/>
          <w:color w:val="000000"/>
          <w:sz w:val="28"/>
          <w:szCs w:val="28"/>
        </w:rPr>
        <w:t>к</w:t>
      </w:r>
      <w:r w:rsidRPr="00CF204A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сунского городского округа» (далее – постановление </w:t>
      </w:r>
      <w:r w:rsidRPr="00CF204A">
        <w:rPr>
          <w:rFonts w:ascii="Times New Roman" w:eastAsiaTheme="minorHAnsi" w:hAnsi="Times New Roman"/>
          <w:color w:val="000000"/>
          <w:sz w:val="28"/>
          <w:szCs w:val="28"/>
        </w:rPr>
        <w:t>Администрации Суксунск</w:t>
      </w:r>
      <w:r w:rsidRPr="00CF204A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CF204A">
        <w:rPr>
          <w:rFonts w:ascii="Times New Roman" w:eastAsiaTheme="minorHAnsi" w:hAnsi="Times New Roman"/>
          <w:color w:val="000000"/>
          <w:sz w:val="28"/>
          <w:szCs w:val="28"/>
        </w:rPr>
        <w:t>го городского округа от 10.11.2021 № 701)</w:t>
      </w:r>
      <w:r w:rsidRPr="00CF204A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CF204A">
        <w:rPr>
          <w:rFonts w:ascii="Times New Roman" w:eastAsiaTheme="minorHAnsi" w:hAnsi="Times New Roman"/>
          <w:color w:val="000000"/>
          <w:sz w:val="28"/>
          <w:szCs w:val="28"/>
        </w:rPr>
        <w:t>Контрольно-счетная палата</w:t>
      </w:r>
      <w:r w:rsidRPr="00CF204A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является главным администратором доходов бюджета Суксунского городского округа.</w:t>
      </w:r>
      <w:proofErr w:type="gramEnd"/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в</w:t>
      </w:r>
      <w:r w:rsidRPr="00CF204A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городского округа от 09.12.2021 № 255 «О бюджете Суксунского городского округа на 2022 год и на плановый период 2023 и 2024 годов» (далее – Решение о бюджете) 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распорядителя бю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жетных средств, главного администратора доходов бюджета.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Контрольно-счетной палаты за 2022 год сформирована единым комплектом по совокупности выполняемых Контрольно-счетной палатой полномочий.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04A">
        <w:rPr>
          <w:rFonts w:ascii="Times New Roman" w:eastAsiaTheme="minorHAnsi" w:hAnsi="Times New Roman"/>
          <w:sz w:val="28"/>
          <w:szCs w:val="28"/>
        </w:rPr>
        <w:t>Годовая бюджетная отчетность Контрольно-счетной палаты за 2022 год представлена в составе, предусмотренном подпунктом 11.1 пункта 11</w:t>
      </w:r>
      <w:r w:rsidRPr="00CF204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CF204A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04A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04A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04A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CF204A">
        <w:rPr>
          <w:rFonts w:ascii="Times New Roman" w:eastAsiaTheme="minorHAnsi" w:hAnsi="Times New Roman"/>
          <w:sz w:val="28"/>
          <w:szCs w:val="28"/>
        </w:rPr>
        <w:t>о</w:t>
      </w:r>
      <w:r w:rsidRPr="00CF204A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CF204A">
        <w:rPr>
          <w:rFonts w:ascii="Times New Roman" w:eastAsiaTheme="minorHAnsi" w:hAnsi="Times New Roman"/>
          <w:sz w:val="28"/>
          <w:szCs w:val="28"/>
        </w:rPr>
        <w:t>и</w:t>
      </w:r>
      <w:r w:rsidRPr="00CF204A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04A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04A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04A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04A">
        <w:rPr>
          <w:rFonts w:ascii="Times New Roman" w:eastAsiaTheme="minorHAnsi" w:hAnsi="Times New Roman"/>
          <w:sz w:val="28"/>
          <w:szCs w:val="28"/>
        </w:rPr>
        <w:t>- пояснительная записка в составе: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04A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04A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CF204A">
        <w:rPr>
          <w:rFonts w:ascii="Times New Roman" w:eastAsiaTheme="minorHAnsi" w:hAnsi="Times New Roman"/>
          <w:sz w:val="28"/>
          <w:szCs w:val="28"/>
        </w:rPr>
        <w:t xml:space="preserve"> (Таблица № 3)</w:t>
      </w:r>
    </w:p>
    <w:p w:rsidR="00CF204A" w:rsidRPr="00CF204A" w:rsidRDefault="00CF204A" w:rsidP="00CF2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CF204A" w:rsidRPr="00CF204A" w:rsidRDefault="00CF204A" w:rsidP="00CF2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 дебиторской и кредиторской задолженности (ф. 0503169) (вид задолженности – кредиторская задолженность).</w:t>
      </w:r>
    </w:p>
    <w:p w:rsidR="00CF204A" w:rsidRPr="00700586" w:rsidRDefault="00CF204A" w:rsidP="00C17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221C92" w:rsidRDefault="00221C92" w:rsidP="00221C92">
      <w:pPr>
        <w:pStyle w:val="a7"/>
        <w:spacing w:after="0" w:line="240" w:lineRule="exact"/>
        <w:ind w:left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 Суксунского городского округа, администрируемые Контрольно-счетной палатой Суксунского городского округа Пермск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края</w:t>
      </w:r>
    </w:p>
    <w:p w:rsidR="00CB64AB" w:rsidRPr="00CB64AB" w:rsidRDefault="00CB64AB" w:rsidP="00CB64AB">
      <w:pPr>
        <w:pStyle w:val="a7"/>
        <w:spacing w:after="0" w:line="240" w:lineRule="exact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7A2" w:rsidRPr="00D217A2" w:rsidRDefault="00D217A2" w:rsidP="00D21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17A2">
        <w:rPr>
          <w:rFonts w:ascii="Times New Roman" w:eastAsiaTheme="minorHAnsi" w:hAnsi="Times New Roman"/>
          <w:sz w:val="28"/>
          <w:szCs w:val="28"/>
        </w:rPr>
        <w:t xml:space="preserve">В проверяемом периоде в соответствии с </w:t>
      </w:r>
      <w:r w:rsidRPr="00D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Суксунского городского округа от 10.11.2021 № 701 </w:t>
      </w:r>
      <w:r w:rsidRPr="00D217A2">
        <w:rPr>
          <w:rFonts w:ascii="Times New Roman" w:eastAsiaTheme="minorHAnsi" w:hAnsi="Times New Roman"/>
          <w:sz w:val="28"/>
          <w:szCs w:val="28"/>
        </w:rPr>
        <w:t xml:space="preserve">Контрольно-счетная палата наделена полномочиями главного администратора доходов бюджета Суксунского городского округа 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администратора 640) </w:t>
      </w:r>
      <w:r w:rsidRPr="00D217A2">
        <w:rPr>
          <w:rFonts w:ascii="Times New Roman" w:eastAsiaTheme="minorHAnsi" w:hAnsi="Times New Roman"/>
          <w:sz w:val="28"/>
          <w:szCs w:val="28"/>
        </w:rPr>
        <w:t>в части следующих доходов,</w:t>
      </w:r>
      <w:r w:rsidRPr="00D217A2">
        <w:rPr>
          <w:rFonts w:ascii="Times New Roman" w:hAnsi="Times New Roman"/>
          <w:sz w:val="28"/>
          <w:szCs w:val="28"/>
        </w:rPr>
        <w:t xml:space="preserve"> пре</w:t>
      </w:r>
      <w:r w:rsidRPr="00D217A2">
        <w:rPr>
          <w:rFonts w:ascii="Times New Roman" w:hAnsi="Times New Roman"/>
          <w:sz w:val="28"/>
          <w:szCs w:val="28"/>
        </w:rPr>
        <w:t>д</w:t>
      </w:r>
      <w:r w:rsidRPr="00D217A2">
        <w:rPr>
          <w:rFonts w:ascii="Times New Roman" w:hAnsi="Times New Roman"/>
          <w:sz w:val="28"/>
          <w:szCs w:val="28"/>
        </w:rPr>
        <w:t>ставленных в таблице № 1.</w:t>
      </w:r>
    </w:p>
    <w:p w:rsidR="00D217A2" w:rsidRPr="00D217A2" w:rsidRDefault="00D217A2" w:rsidP="00D21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7A2" w:rsidRPr="00D217A2" w:rsidRDefault="00D217A2" w:rsidP="00D217A2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17A2">
        <w:rPr>
          <w:rFonts w:ascii="Times New Roman" w:hAnsi="Times New Roman"/>
          <w:sz w:val="20"/>
          <w:szCs w:val="20"/>
        </w:rPr>
        <w:t>Таблица №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40"/>
        <w:gridCol w:w="7198"/>
      </w:tblGrid>
      <w:tr w:rsidR="00D217A2" w:rsidRPr="00D217A2" w:rsidTr="00D94551">
        <w:trPr>
          <w:trHeight w:val="383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A2" w:rsidRPr="00D217A2" w:rsidRDefault="00D217A2" w:rsidP="00D2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21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D217A2" w:rsidRPr="00D217A2" w:rsidRDefault="00D217A2" w:rsidP="00D2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A2" w:rsidRPr="00D217A2" w:rsidRDefault="00D217A2" w:rsidP="00D21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217A2" w:rsidRPr="00D217A2" w:rsidTr="00D94551">
        <w:trPr>
          <w:trHeight w:val="393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A2" w:rsidRPr="00D217A2" w:rsidRDefault="00D217A2" w:rsidP="00D2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1 16 01 157 01 0000 140 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A2" w:rsidRPr="00D217A2" w:rsidRDefault="00D217A2" w:rsidP="00D21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с нецелевым использованием бюджетных средств, невозвратом либо несвоевременным возвратом бюджетного кредита, не пер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числением либо несвоевременным перечислением платы за пол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 бюджетным кредитом, нарушением условий предоставл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сидий юридическим</w:t>
            </w:r>
            <w:proofErr w:type="gramEnd"/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лицам, индивидуальным предпринимателям и физическим лицам, подлежащие зачислению в бюджет муниц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образования</w:t>
            </w:r>
          </w:p>
        </w:tc>
      </w:tr>
      <w:tr w:rsidR="00D217A2" w:rsidRPr="00D217A2" w:rsidTr="00D94551">
        <w:trPr>
          <w:trHeight w:val="140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A2" w:rsidRPr="00D217A2" w:rsidRDefault="00D217A2" w:rsidP="00D2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1 16 07 090 04 0000 140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A2" w:rsidRPr="00D217A2" w:rsidRDefault="00D217A2" w:rsidP="00D21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ципальным казенным учреждением) городского округа</w:t>
            </w:r>
          </w:p>
        </w:tc>
      </w:tr>
      <w:tr w:rsidR="00D217A2" w:rsidRPr="00D217A2" w:rsidTr="00D94551">
        <w:trPr>
          <w:trHeight w:val="125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A2" w:rsidRPr="00D217A2" w:rsidRDefault="00D217A2" w:rsidP="00D2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1 16 10 100 04 0000 140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A2" w:rsidRPr="00D217A2" w:rsidRDefault="00D217A2" w:rsidP="00D21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217A2" w:rsidRPr="00D217A2" w:rsidTr="00D94551">
        <w:trPr>
          <w:trHeight w:val="69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A2" w:rsidRPr="00D217A2" w:rsidRDefault="00D217A2" w:rsidP="00D2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1 17 01 040 04 0000 180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A2" w:rsidRPr="00D217A2" w:rsidRDefault="00D217A2" w:rsidP="00D21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217A2" w:rsidRPr="00D217A2" w:rsidTr="00D94551">
        <w:trPr>
          <w:trHeight w:val="69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A2" w:rsidRPr="00D217A2" w:rsidRDefault="00D217A2" w:rsidP="00D2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1 17 16 000 04 0000 180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A2" w:rsidRPr="00D217A2" w:rsidRDefault="00D217A2" w:rsidP="00D21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D217A2" w:rsidRPr="00D217A2" w:rsidRDefault="00D217A2" w:rsidP="00D217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7A2" w:rsidRPr="00D217A2" w:rsidRDefault="00D217A2" w:rsidP="00D217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Контрольно-счетной палатой з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2022 год в сумме 26 900,00 руб., что подтверждае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 xml:space="preserve">ся Бюджетной росписью доходов Суксунского городского округа на 2022 год и 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плановый период 2023 и 2024 годов.</w:t>
      </w:r>
    </w:p>
    <w:p w:rsidR="00D217A2" w:rsidRPr="00D217A2" w:rsidRDefault="00D217A2" w:rsidP="00D21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 0503127) (далее – Отчет об исполнении бюджета (ф. 0503127)) фактическое исполнение по доходам за 2022 год составило 26 887,63 руб., или 99,95% от утвержденных бюджетных назнач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  <w:proofErr w:type="gramEnd"/>
    </w:p>
    <w:p w:rsidR="00D217A2" w:rsidRPr="00D217A2" w:rsidRDefault="00D217A2" w:rsidP="00D21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7A2">
        <w:rPr>
          <w:rFonts w:ascii="Times New Roman" w:hAnsi="Times New Roman"/>
          <w:sz w:val="28"/>
          <w:szCs w:val="28"/>
        </w:rPr>
        <w:t>Анализ исполнения доходов бюджета представлен в таблице № 2.</w:t>
      </w:r>
    </w:p>
    <w:p w:rsidR="00D217A2" w:rsidRPr="00D217A2" w:rsidRDefault="00D217A2" w:rsidP="00D21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7A2" w:rsidRPr="00D217A2" w:rsidRDefault="00D217A2" w:rsidP="00D217A2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17A2">
        <w:rPr>
          <w:rFonts w:ascii="Times New Roman" w:hAnsi="Times New Roman"/>
          <w:sz w:val="20"/>
          <w:szCs w:val="20"/>
        </w:rPr>
        <w:t>Таблица № 2</w:t>
      </w:r>
    </w:p>
    <w:tbl>
      <w:tblPr>
        <w:tblStyle w:val="af8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71"/>
        <w:gridCol w:w="1558"/>
        <w:gridCol w:w="1558"/>
        <w:gridCol w:w="1276"/>
        <w:gridCol w:w="992"/>
      </w:tblGrid>
      <w:tr w:rsidR="00D217A2" w:rsidRPr="00D217A2" w:rsidTr="00D94551">
        <w:trPr>
          <w:tblHeader/>
        </w:trPr>
        <w:tc>
          <w:tcPr>
            <w:tcW w:w="286" w:type="pct"/>
          </w:tcPr>
          <w:p w:rsidR="00D217A2" w:rsidRPr="00D217A2" w:rsidRDefault="00D217A2" w:rsidP="00D217A2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1" w:type="pct"/>
          </w:tcPr>
          <w:p w:rsidR="00D217A2" w:rsidRPr="00D217A2" w:rsidRDefault="00D217A2" w:rsidP="00D217A2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85" w:type="pct"/>
          </w:tcPr>
          <w:p w:rsidR="00D217A2" w:rsidRPr="00D217A2" w:rsidRDefault="00D217A2" w:rsidP="00D217A2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жденные бюджетные назначения, руб.</w:t>
            </w:r>
          </w:p>
        </w:tc>
        <w:tc>
          <w:tcPr>
            <w:tcW w:w="785" w:type="pct"/>
          </w:tcPr>
          <w:p w:rsidR="00D217A2" w:rsidRPr="00D217A2" w:rsidRDefault="00D217A2" w:rsidP="00D217A2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643" w:type="pct"/>
          </w:tcPr>
          <w:p w:rsidR="00D217A2" w:rsidRPr="00D217A2" w:rsidRDefault="00D217A2" w:rsidP="0070470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полне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бюдже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</w:t>
            </w:r>
            <w:r w:rsidR="00704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00" w:type="pct"/>
          </w:tcPr>
          <w:p w:rsidR="00D217A2" w:rsidRPr="00D217A2" w:rsidRDefault="00D217A2" w:rsidP="00D217A2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нения, %</w:t>
            </w:r>
          </w:p>
        </w:tc>
      </w:tr>
      <w:tr w:rsidR="00D217A2" w:rsidRPr="00D217A2" w:rsidTr="00D94551">
        <w:trPr>
          <w:tblHeader/>
        </w:trPr>
        <w:tc>
          <w:tcPr>
            <w:tcW w:w="286" w:type="pct"/>
          </w:tcPr>
          <w:p w:rsidR="00D217A2" w:rsidRPr="00D217A2" w:rsidRDefault="00D217A2" w:rsidP="00D21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pct"/>
          </w:tcPr>
          <w:p w:rsidR="00D217A2" w:rsidRPr="00D217A2" w:rsidRDefault="00D217A2" w:rsidP="00D21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pct"/>
          </w:tcPr>
          <w:p w:rsidR="00D217A2" w:rsidRPr="00D217A2" w:rsidRDefault="00D217A2" w:rsidP="00D21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pct"/>
          </w:tcPr>
          <w:p w:rsidR="00D217A2" w:rsidRPr="00D217A2" w:rsidRDefault="00D217A2" w:rsidP="00D21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</w:tcPr>
          <w:p w:rsidR="00D217A2" w:rsidRPr="00D217A2" w:rsidRDefault="00D217A2" w:rsidP="00D21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</w:tcPr>
          <w:p w:rsidR="00D217A2" w:rsidRPr="00D217A2" w:rsidRDefault="00D217A2" w:rsidP="00D21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217A2" w:rsidRPr="00D217A2" w:rsidTr="00D94551">
        <w:tc>
          <w:tcPr>
            <w:tcW w:w="286" w:type="pct"/>
          </w:tcPr>
          <w:p w:rsidR="00D217A2" w:rsidRPr="00D217A2" w:rsidRDefault="00D217A2" w:rsidP="00D21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pct"/>
          </w:tcPr>
          <w:p w:rsidR="00D217A2" w:rsidRPr="00D217A2" w:rsidRDefault="00D217A2" w:rsidP="00D217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</w:t>
            </w: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левого использования бюджетных средств (в части бюджетов горо</w:t>
            </w: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785" w:type="pct"/>
          </w:tcPr>
          <w:p w:rsidR="00D217A2" w:rsidRPr="00D217A2" w:rsidRDefault="00D217A2" w:rsidP="00D217A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26 900,00</w:t>
            </w:r>
          </w:p>
        </w:tc>
        <w:tc>
          <w:tcPr>
            <w:tcW w:w="785" w:type="pct"/>
          </w:tcPr>
          <w:p w:rsidR="00D217A2" w:rsidRPr="00D217A2" w:rsidRDefault="00D217A2" w:rsidP="00D217A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26 887,63</w:t>
            </w:r>
          </w:p>
        </w:tc>
        <w:tc>
          <w:tcPr>
            <w:tcW w:w="643" w:type="pct"/>
          </w:tcPr>
          <w:p w:rsidR="00D217A2" w:rsidRPr="00D217A2" w:rsidRDefault="00D217A2" w:rsidP="00D217A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500" w:type="pct"/>
          </w:tcPr>
          <w:p w:rsidR="00D217A2" w:rsidRPr="00D217A2" w:rsidRDefault="00D217A2" w:rsidP="00D217A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D217A2" w:rsidRPr="00D217A2" w:rsidTr="00D94551">
        <w:tc>
          <w:tcPr>
            <w:tcW w:w="286" w:type="pct"/>
          </w:tcPr>
          <w:p w:rsidR="00D217A2" w:rsidRPr="00D217A2" w:rsidRDefault="00D217A2" w:rsidP="00D217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</w:tcPr>
          <w:p w:rsidR="00D217A2" w:rsidRPr="00D217A2" w:rsidRDefault="00D217A2" w:rsidP="00D217A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pct"/>
          </w:tcPr>
          <w:p w:rsidR="00D217A2" w:rsidRPr="00D217A2" w:rsidRDefault="00D217A2" w:rsidP="00D217A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26 900,00</w:t>
            </w:r>
          </w:p>
        </w:tc>
        <w:tc>
          <w:tcPr>
            <w:tcW w:w="785" w:type="pct"/>
          </w:tcPr>
          <w:p w:rsidR="00D217A2" w:rsidRPr="00D217A2" w:rsidRDefault="00D217A2" w:rsidP="00D217A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26 887,63</w:t>
            </w:r>
          </w:p>
        </w:tc>
        <w:tc>
          <w:tcPr>
            <w:tcW w:w="643" w:type="pct"/>
          </w:tcPr>
          <w:p w:rsidR="00D217A2" w:rsidRPr="00D217A2" w:rsidRDefault="00D217A2" w:rsidP="00D217A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500" w:type="pct"/>
          </w:tcPr>
          <w:p w:rsidR="00D217A2" w:rsidRPr="00D217A2" w:rsidRDefault="00D217A2" w:rsidP="00D217A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99,95</w:t>
            </w:r>
          </w:p>
        </w:tc>
      </w:tr>
    </w:tbl>
    <w:p w:rsidR="00976B0E" w:rsidRDefault="00976B0E" w:rsidP="002A533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7953" w:rsidRPr="003E4C05" w:rsidRDefault="00DD7953" w:rsidP="003E4C05">
      <w:pPr>
        <w:pStyle w:val="a7"/>
        <w:numPr>
          <w:ilvl w:val="0"/>
          <w:numId w:val="27"/>
        </w:numPr>
        <w:spacing w:after="0" w:line="240" w:lineRule="exact"/>
        <w:ind w:left="709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4C05">
        <w:rPr>
          <w:rFonts w:ascii="Times New Roman" w:hAnsi="Times New Roman"/>
          <w:b/>
          <w:bCs/>
          <w:sz w:val="28"/>
          <w:szCs w:val="28"/>
        </w:rPr>
        <w:t>Расходы бюджета Суксунского городского округа по Контрольно-счетной палате Суксунского городского округа Пермского края</w:t>
      </w:r>
    </w:p>
    <w:p w:rsidR="00DD7953" w:rsidRPr="00DD7953" w:rsidRDefault="00DD7953" w:rsidP="00DD7953">
      <w:pPr>
        <w:pStyle w:val="a7"/>
        <w:spacing w:after="0" w:line="240" w:lineRule="exact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7A2" w:rsidRPr="00D217A2" w:rsidRDefault="00D217A2" w:rsidP="00D217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Суксунского городского округа Пермского края в 2022 году в соответствии с Решением о</w:t>
      </w:r>
      <w:r w:rsidRPr="00D217A2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являлась главным распоряд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телем бюджетных средств по разделу классификации расходов бюджета 0100 «Общегосударственные вопросы» в сумме 1 601 100 руб.</w:t>
      </w:r>
    </w:p>
    <w:p w:rsidR="00D217A2" w:rsidRPr="00D217A2" w:rsidRDefault="00D217A2" w:rsidP="00D217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 0503127) фактическое и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полнение по расходам за 2022 год составило 1 593 895,81 руб.</w:t>
      </w:r>
    </w:p>
    <w:p w:rsidR="00D217A2" w:rsidRPr="00D217A2" w:rsidRDefault="00D217A2" w:rsidP="00D21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7A2">
        <w:rPr>
          <w:rFonts w:ascii="Times New Roman" w:hAnsi="Times New Roman"/>
          <w:sz w:val="28"/>
          <w:szCs w:val="28"/>
        </w:rPr>
        <w:t>Анализ исполнения расходов бюджета представлен в таблице № 3.</w:t>
      </w:r>
    </w:p>
    <w:p w:rsidR="00D217A2" w:rsidRPr="00D217A2" w:rsidRDefault="00D217A2" w:rsidP="00D21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7A2" w:rsidRPr="00D217A2" w:rsidRDefault="00D217A2" w:rsidP="00D217A2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17A2">
        <w:rPr>
          <w:rFonts w:ascii="Times New Roman" w:hAnsi="Times New Roman"/>
          <w:sz w:val="20"/>
          <w:szCs w:val="20"/>
        </w:rPr>
        <w:t>Таблица № 3</w:t>
      </w:r>
    </w:p>
    <w:p w:rsidR="00D217A2" w:rsidRPr="00D217A2" w:rsidRDefault="00D217A2" w:rsidP="00D217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126"/>
        <w:gridCol w:w="1701"/>
        <w:gridCol w:w="1417"/>
        <w:gridCol w:w="1985"/>
      </w:tblGrid>
      <w:tr w:rsidR="00D217A2" w:rsidRPr="00D217A2" w:rsidTr="00D94551">
        <w:trPr>
          <w:trHeight w:val="248"/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A2" w:rsidRPr="00D217A2" w:rsidRDefault="00D217A2" w:rsidP="00D217A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статей</w:t>
            </w:r>
          </w:p>
          <w:p w:rsidR="00D217A2" w:rsidRPr="00D217A2" w:rsidRDefault="00D217A2" w:rsidP="00D217A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A2" w:rsidRPr="00D217A2" w:rsidRDefault="00D217A2" w:rsidP="00D217A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Уточненные</w:t>
            </w:r>
          </w:p>
          <w:p w:rsidR="00D217A2" w:rsidRPr="00D217A2" w:rsidRDefault="00D217A2" w:rsidP="00D217A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чения,</w:t>
            </w:r>
          </w:p>
          <w:p w:rsidR="00D217A2" w:rsidRPr="00D217A2" w:rsidRDefault="00D217A2" w:rsidP="00D217A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A2" w:rsidRPr="00D217A2" w:rsidRDefault="00D217A2" w:rsidP="00D217A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</w:t>
            </w:r>
          </w:p>
          <w:p w:rsidR="00D217A2" w:rsidRPr="00D217A2" w:rsidRDefault="00D217A2" w:rsidP="00D217A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A2" w:rsidRPr="00D217A2" w:rsidRDefault="00D217A2" w:rsidP="00D217A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Отклонения от </w:t>
            </w:r>
            <w:proofErr w:type="gramStart"/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</w:t>
            </w:r>
            <w:proofErr w:type="gramEnd"/>
          </w:p>
          <w:p w:rsidR="00D217A2" w:rsidRPr="00D217A2" w:rsidRDefault="00D217A2" w:rsidP="00D217A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бюджетных назначений, руб.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A2" w:rsidRPr="00D217A2" w:rsidRDefault="00D217A2" w:rsidP="00D217A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уточненных пл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новых назнач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D21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ний, %</w:t>
            </w:r>
          </w:p>
        </w:tc>
      </w:tr>
      <w:tr w:rsidR="00D217A2" w:rsidRPr="00D217A2" w:rsidTr="00D94551">
        <w:trPr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17A2" w:rsidRPr="00D217A2" w:rsidRDefault="00D217A2" w:rsidP="00D2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A2" w:rsidRPr="00D217A2" w:rsidRDefault="00D217A2" w:rsidP="00D21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A2" w:rsidRPr="00D217A2" w:rsidRDefault="00D217A2" w:rsidP="00D21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A2" w:rsidRPr="00D217A2" w:rsidRDefault="00D217A2" w:rsidP="00D21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7A2" w:rsidRPr="00D217A2" w:rsidRDefault="00D217A2" w:rsidP="00D21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217A2" w:rsidRPr="00D217A2" w:rsidTr="00D94551">
        <w:trPr>
          <w:trHeight w:val="27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17A2" w:rsidRPr="00D217A2" w:rsidRDefault="00D217A2" w:rsidP="00D2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7A2" w:rsidRPr="00D217A2" w:rsidRDefault="00D217A2" w:rsidP="00D21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1 601 100,00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7A2" w:rsidRPr="00D217A2" w:rsidRDefault="00D217A2" w:rsidP="00D21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1 593 895,81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7A2" w:rsidRPr="00D217A2" w:rsidRDefault="00D217A2" w:rsidP="00D21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7 204,19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7A2" w:rsidRPr="00D217A2" w:rsidRDefault="00D217A2" w:rsidP="00D21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99,55</w:t>
            </w:r>
          </w:p>
        </w:tc>
      </w:tr>
    </w:tbl>
    <w:p w:rsidR="00D217A2" w:rsidRPr="00D217A2" w:rsidRDefault="00D217A2" w:rsidP="00D217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6C7" w:rsidRPr="006A16C7" w:rsidRDefault="00D217A2" w:rsidP="00D217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Неисполненные бюджетные назначения за 2022 год составили 7</w:t>
      </w:r>
      <w:r w:rsidRPr="00D217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204,19 руб. Выполнение уточненных бюджетных назначений в проверяемом периоде сост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17A2">
        <w:rPr>
          <w:rFonts w:ascii="Times New Roman" w:eastAsia="Times New Roman" w:hAnsi="Times New Roman"/>
          <w:sz w:val="28"/>
          <w:szCs w:val="28"/>
          <w:lang w:eastAsia="ru-RU"/>
        </w:rPr>
        <w:t>вило 99,55%.</w:t>
      </w:r>
    </w:p>
    <w:p w:rsidR="001D1470" w:rsidRPr="001D1470" w:rsidRDefault="001D1470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Default="00F85B2F" w:rsidP="004D7EF1">
      <w:pPr>
        <w:pStyle w:val="a7"/>
        <w:numPr>
          <w:ilvl w:val="0"/>
          <w:numId w:val="27"/>
        </w:numPr>
        <w:spacing w:after="0" w:line="240" w:lineRule="exact"/>
        <w:ind w:left="709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</w:t>
      </w:r>
      <w:r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нистратора бюджетных средств, ее соответствия требованиям норм</w:t>
      </w:r>
      <w:r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тивных правовых актов по составу и содержанию. Проверка внутре</w:t>
      </w:r>
      <w:r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ней согласованности форм бюджетной отчетности</w:t>
      </w:r>
    </w:p>
    <w:p w:rsidR="0065098D" w:rsidRPr="0065098D" w:rsidRDefault="0065098D" w:rsidP="0065098D">
      <w:pPr>
        <w:pStyle w:val="a7"/>
        <w:spacing w:after="0" w:line="240" w:lineRule="exact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E667E">
        <w:rPr>
          <w:rFonts w:ascii="Times New Roman" w:eastAsiaTheme="minorHAnsi" w:hAnsi="Times New Roman"/>
          <w:sz w:val="28"/>
          <w:szCs w:val="28"/>
        </w:rPr>
        <w:t>Годовая бюджетная отчетность за 2022 год составлена в соответствии с тр</w:t>
      </w:r>
      <w:r w:rsidRPr="002E667E">
        <w:rPr>
          <w:rFonts w:ascii="Times New Roman" w:eastAsiaTheme="minorHAnsi" w:hAnsi="Times New Roman"/>
          <w:sz w:val="28"/>
          <w:szCs w:val="28"/>
        </w:rPr>
        <w:t>е</w:t>
      </w:r>
      <w:r w:rsidRPr="002E667E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26.12.2022 № 51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2022 год».</w:t>
      </w:r>
      <w:proofErr w:type="gramEnd"/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667E">
        <w:rPr>
          <w:rFonts w:ascii="Times New Roman" w:eastAsiaTheme="minorHAnsi" w:hAnsi="Times New Roman"/>
          <w:sz w:val="28"/>
          <w:szCs w:val="28"/>
        </w:rPr>
        <w:t>Контрольно-счетной палате установлена дата представления и сдачи отчета – 13.01.2023.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667E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667E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2E667E">
        <w:rPr>
          <w:rFonts w:ascii="Times New Roman" w:eastAsiaTheme="minorHAnsi" w:hAnsi="Times New Roman"/>
          <w:sz w:val="28"/>
          <w:szCs w:val="28"/>
        </w:rPr>
        <w:t>т</w:t>
      </w:r>
      <w:r w:rsidRPr="002E667E">
        <w:rPr>
          <w:rFonts w:ascii="Times New Roman" w:eastAsiaTheme="minorHAnsi" w:hAnsi="Times New Roman"/>
          <w:sz w:val="28"/>
          <w:szCs w:val="28"/>
        </w:rPr>
        <w:t>ная отчетность подписана: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67E">
        <w:rPr>
          <w:rFonts w:ascii="Times New Roman" w:hAnsi="Times New Roman"/>
          <w:sz w:val="28"/>
          <w:szCs w:val="28"/>
        </w:rPr>
        <w:t>- председателем Контрольно-счетной палаты Суксунского городского окр</w:t>
      </w:r>
      <w:r w:rsidRPr="002E667E">
        <w:rPr>
          <w:rFonts w:ascii="Times New Roman" w:hAnsi="Times New Roman"/>
          <w:sz w:val="28"/>
          <w:szCs w:val="28"/>
        </w:rPr>
        <w:t>у</w:t>
      </w:r>
      <w:r w:rsidRPr="002E667E">
        <w:rPr>
          <w:rFonts w:ascii="Times New Roman" w:hAnsi="Times New Roman"/>
          <w:sz w:val="28"/>
          <w:szCs w:val="28"/>
        </w:rPr>
        <w:t>га Пермского края Туголуковой Ольгой Геннадьевной;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67E">
        <w:rPr>
          <w:rFonts w:ascii="Times New Roman" w:hAnsi="Times New Roman"/>
          <w:sz w:val="28"/>
          <w:szCs w:val="28"/>
        </w:rPr>
        <w:t>- ведущим бухгалтером МКУ «ЦБ Суксунского городского округа» Щелк</w:t>
      </w:r>
      <w:r w:rsidRPr="002E667E">
        <w:rPr>
          <w:rFonts w:ascii="Times New Roman" w:hAnsi="Times New Roman"/>
          <w:sz w:val="28"/>
          <w:szCs w:val="28"/>
        </w:rPr>
        <w:t>о</w:t>
      </w:r>
      <w:r w:rsidRPr="002E667E">
        <w:rPr>
          <w:rFonts w:ascii="Times New Roman" w:hAnsi="Times New Roman"/>
          <w:sz w:val="28"/>
          <w:szCs w:val="28"/>
        </w:rPr>
        <w:t>ноговой Натальей Юрьевной, на которую возложены обязанности главного бу</w:t>
      </w:r>
      <w:r w:rsidRPr="002E667E">
        <w:rPr>
          <w:rFonts w:ascii="Times New Roman" w:hAnsi="Times New Roman"/>
          <w:sz w:val="28"/>
          <w:szCs w:val="28"/>
        </w:rPr>
        <w:t>х</w:t>
      </w:r>
      <w:r w:rsidRPr="002E667E">
        <w:rPr>
          <w:rFonts w:ascii="Times New Roman" w:hAnsi="Times New Roman"/>
          <w:sz w:val="28"/>
          <w:szCs w:val="28"/>
        </w:rPr>
        <w:t>галтера по ведению бюджетного учета Контрольно-счетной палаты Суксунского городского округа Пермского края.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67E">
        <w:rPr>
          <w:rFonts w:ascii="Times New Roman" w:hAnsi="Times New Roman"/>
          <w:sz w:val="28"/>
          <w:szCs w:val="28"/>
        </w:rPr>
        <w:t>В соответствии с пунктом 9</w:t>
      </w:r>
      <w:r w:rsidRPr="002E667E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2E667E">
        <w:rPr>
          <w:rFonts w:ascii="Times New Roman" w:hAnsi="Times New Roman"/>
          <w:sz w:val="28"/>
          <w:szCs w:val="28"/>
        </w:rPr>
        <w:t>юджетная отчетность с</w:t>
      </w:r>
      <w:r w:rsidRPr="002E667E">
        <w:rPr>
          <w:rFonts w:ascii="Times New Roman" w:hAnsi="Times New Roman"/>
          <w:sz w:val="28"/>
          <w:szCs w:val="28"/>
        </w:rPr>
        <w:t>о</w:t>
      </w:r>
      <w:r w:rsidRPr="002E667E">
        <w:rPr>
          <w:rFonts w:ascii="Times New Roman" w:hAnsi="Times New Roman"/>
          <w:sz w:val="28"/>
          <w:szCs w:val="28"/>
        </w:rPr>
        <w:t>ставлена нарастающим итогом с начала года в рублях, с точностью до второго д</w:t>
      </w:r>
      <w:r w:rsidRPr="002E667E">
        <w:rPr>
          <w:rFonts w:ascii="Times New Roman" w:hAnsi="Times New Roman"/>
          <w:sz w:val="28"/>
          <w:szCs w:val="28"/>
        </w:rPr>
        <w:t>е</w:t>
      </w:r>
      <w:r w:rsidRPr="002E667E">
        <w:rPr>
          <w:rFonts w:ascii="Times New Roman" w:hAnsi="Times New Roman"/>
          <w:sz w:val="28"/>
          <w:szCs w:val="28"/>
        </w:rPr>
        <w:t>сятичного знака после запятой.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Контрольно-счетной палаты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– Баланс (ф.0503130)) на начало и конец отчетного периода о стоимости активов и обязательств, финансовом результате полностью соотве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Баланса (ф. 0503130) подтверждаются данными, отраженными в Сведениях о движении нефинансовых активов (ф. 0503168).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Баланса (ф. 0503130) подтверждаются да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3 «Обязательства» Баланса (ф. 0503130) подтверждаются данными, 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отраженными в Сведениях о дебиторской и кредиторской задолженности (вид з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долженности – кредиторская задолженность) (ф. 0503169).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Баланса (ф. 0503130) подтверждается данными Справки по заключению счетов бюджетного учета отчетного финанс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вого года (ф. 0503110).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2023 года подтверждаются данными Справки по закл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финансовых результатах деятельности (ф. 0503121) по состоянию на 01.01.2023 составлен в разрезе кодов КОСГУ и содержит данные о финансовых результатах деятельности Контрольно-счетной палаты. Проверкой контрольных соотношений отчетности расхождений не установлено.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бюджета (</w:t>
      </w:r>
      <w:r w:rsidRPr="002E667E">
        <w:rPr>
          <w:rFonts w:ascii="Times New Roman" w:hAnsi="Times New Roman"/>
          <w:sz w:val="28"/>
          <w:szCs w:val="28"/>
        </w:rPr>
        <w:t>ф. 0503127) содержит данные об исполн</w:t>
      </w:r>
      <w:r w:rsidRPr="002E667E">
        <w:rPr>
          <w:rFonts w:ascii="Times New Roman" w:hAnsi="Times New Roman"/>
          <w:sz w:val="28"/>
          <w:szCs w:val="28"/>
        </w:rPr>
        <w:t>е</w:t>
      </w:r>
      <w:r w:rsidRPr="002E667E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2E667E">
        <w:rPr>
          <w:rFonts w:ascii="Times New Roman" w:hAnsi="Times New Roman"/>
          <w:sz w:val="28"/>
          <w:szCs w:val="28"/>
        </w:rPr>
        <w:t>е</w:t>
      </w:r>
      <w:r w:rsidRPr="002E667E">
        <w:rPr>
          <w:rFonts w:ascii="Times New Roman" w:hAnsi="Times New Roman"/>
          <w:sz w:val="28"/>
          <w:szCs w:val="28"/>
        </w:rPr>
        <w:t>рации.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разделу «Доходы бюджета» Отчета </w:t>
      </w:r>
      <w:r w:rsidRPr="002E667E">
        <w:rPr>
          <w:rFonts w:ascii="Times New Roman" w:hAnsi="Times New Roman"/>
          <w:sz w:val="28"/>
          <w:szCs w:val="28"/>
        </w:rPr>
        <w:t>об исполнении бюджета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667E">
        <w:rPr>
          <w:rFonts w:ascii="Times New Roman" w:hAnsi="Times New Roman"/>
          <w:sz w:val="28"/>
          <w:szCs w:val="28"/>
        </w:rPr>
        <w:t xml:space="preserve">(ф. 0503127) 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палате утверждены бюджетные назначения по д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ходам на 2022 год в сумме 26 900,00 руб. Исполнение по доходам бюджета сост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вило 26 887,63 руб., или 99,95%.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«Расходы бюджета» Отчета об исполнении бюджета </w:t>
      </w:r>
      <w:r w:rsidRPr="002E667E">
        <w:rPr>
          <w:rFonts w:ascii="Times New Roman" w:hAnsi="Times New Roman"/>
          <w:sz w:val="28"/>
          <w:szCs w:val="28"/>
        </w:rPr>
        <w:t>(ф. 0503127)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графы 4 «Утвержденные бюджетные назначения», графы 5 «Лимиты бюджетных обязательств» соответствуют данным сводной бюджетной росписи на 2022 год.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бюджета на 2022 год отражены в сумме 1 601 100,00 руб. Исполнение бюджета главного распорядителя в целом по расходам в 2022 году составило 1 593 895,81 руб., или 99,55% утве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жденных бюджетных назначений.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2022 год с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ставило 7 204,19 руб.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2E667E">
        <w:rPr>
          <w:rFonts w:ascii="Times New Roman" w:hAnsi="Times New Roman"/>
          <w:sz w:val="28"/>
          <w:szCs w:val="28"/>
        </w:rPr>
        <w:t xml:space="preserve">Отчета об исполнении бюджета (ф. 0503127) 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соотве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01.01.2023 нарушений не выявила.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ответствуют доходам и расходам бюджета Отчета об исполнении бюджета </w:t>
      </w:r>
      <w:r w:rsidRPr="002E667E">
        <w:rPr>
          <w:rFonts w:ascii="Times New Roman" w:hAnsi="Times New Roman"/>
          <w:sz w:val="28"/>
          <w:szCs w:val="28"/>
        </w:rPr>
        <w:t>(ф. 0503127)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67E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2E667E">
        <w:rPr>
          <w:rFonts w:ascii="Times New Roman" w:hAnsi="Times New Roman"/>
          <w:sz w:val="28"/>
          <w:szCs w:val="28"/>
        </w:rPr>
        <w:t>а</w:t>
      </w:r>
      <w:r w:rsidRPr="002E667E">
        <w:rPr>
          <w:rFonts w:ascii="Times New Roman" w:hAnsi="Times New Roman"/>
          <w:sz w:val="28"/>
          <w:szCs w:val="28"/>
        </w:rPr>
        <w:t>тельствах, не исполненных бюджетных и денежных обязательствах.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67E">
        <w:rPr>
          <w:rFonts w:ascii="Times New Roman" w:hAnsi="Times New Roman"/>
          <w:sz w:val="28"/>
          <w:szCs w:val="28"/>
        </w:rPr>
        <w:t>Данные показателей раздела 1 «Бюджетные обязательства текущего (отче</w:t>
      </w:r>
      <w:r w:rsidRPr="002E667E">
        <w:rPr>
          <w:rFonts w:ascii="Times New Roman" w:hAnsi="Times New Roman"/>
          <w:sz w:val="28"/>
          <w:szCs w:val="28"/>
        </w:rPr>
        <w:t>т</w:t>
      </w:r>
      <w:r w:rsidRPr="002E667E">
        <w:rPr>
          <w:rFonts w:ascii="Times New Roman" w:hAnsi="Times New Roman"/>
          <w:sz w:val="28"/>
          <w:szCs w:val="28"/>
        </w:rPr>
        <w:t xml:space="preserve">ного) финансового года по расходам» Отчета о бюджетных обязательствах (ф. </w:t>
      </w:r>
      <w:r w:rsidRPr="002E667E">
        <w:rPr>
          <w:rFonts w:ascii="Times New Roman" w:hAnsi="Times New Roman"/>
          <w:sz w:val="28"/>
          <w:szCs w:val="28"/>
        </w:rPr>
        <w:lastRenderedPageBreak/>
        <w:t>0503128) соответствуют данным формы Отчета об исполнении бюджета (ф. 0503127).</w:t>
      </w:r>
    </w:p>
    <w:p w:rsidR="002E667E" w:rsidRPr="002E667E" w:rsidRDefault="002E667E" w:rsidP="002E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67E">
        <w:rPr>
          <w:rFonts w:ascii="Times New Roman" w:eastAsiaTheme="minorEastAsia" w:hAnsi="Times New Roman"/>
          <w:sz w:val="28"/>
          <w:szCs w:val="28"/>
          <w:lang w:eastAsia="ru-RU"/>
        </w:rPr>
        <w:t>Данные по отложенным обязательствам, отраженные в разделе 3 «Обяз</w:t>
      </w:r>
      <w:r w:rsidRPr="002E667E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2E667E">
        <w:rPr>
          <w:rFonts w:ascii="Times New Roman" w:eastAsiaTheme="minorEastAsia" w:hAnsi="Times New Roman"/>
          <w:sz w:val="28"/>
          <w:szCs w:val="28"/>
          <w:lang w:eastAsia="ru-RU"/>
        </w:rPr>
        <w:t>тельства финансовых годов, следующих за текущим (отчетным) финансовым г</w:t>
      </w:r>
      <w:r w:rsidRPr="002E667E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2E66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дом» </w:t>
      </w:r>
      <w:r w:rsidRPr="002E667E">
        <w:rPr>
          <w:rFonts w:ascii="Times New Roman" w:hAnsi="Times New Roman"/>
          <w:sz w:val="28"/>
          <w:szCs w:val="28"/>
        </w:rPr>
        <w:t>Отчета о бюджетных обязательствах (ф. 0503128) соответствуют данным раздела 3 «Обязательства» Баланса (ф. 0503130) в части резервов предстоящих расходов и кредиторской задолженности по услугам связи.</w:t>
      </w:r>
    </w:p>
    <w:p w:rsidR="002E667E" w:rsidRPr="002E667E" w:rsidRDefault="002E667E" w:rsidP="002E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hAnsi="Times New Roman"/>
          <w:sz w:val="28"/>
          <w:szCs w:val="28"/>
        </w:rPr>
        <w:t>При анализе текстовой части Пояснительной записки (ф. 0503160)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ний не выявлено.</w:t>
      </w:r>
    </w:p>
    <w:p w:rsidR="002E667E" w:rsidRPr="002E667E" w:rsidRDefault="002E667E" w:rsidP="002E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В составе Пояснительной записки (ф. 0503160) представлена Таблица № 3 «Сведения об исполнении текстовых статей закона (решения) о бюджете». При её проверке нарушений не выявлено.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Данные Сведений об исполнении бюджета (ф. 0503164) соответствуют да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Pr="002E667E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01.01.2023 расхождений не установлено. Бала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совая стоимость основных средств по состоянию на 01.01.2023 составила 83 712,70 руб. и по сравнению с балансовой стоимостью основных средств по с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стоянию на 01.01.2022 не изменилась.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01.01.2023 года по данным Баланса (ф. 0503130) составила 83 712,70 руб., что также соотве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ствует данным, отраженным в Сведениях о движении нефинансовых активов (ф. 0503168).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основных средств на </w:t>
      </w:r>
      <w:proofErr w:type="spellStart"/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забалансовом</w:t>
      </w:r>
      <w:proofErr w:type="spellEnd"/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счете 21 «Основные средства в эксплуатации» по состоянию на 01.01.2023 увеличилась на 11 000,00 руб. в св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зи с приобретением шкафов и составила 63 942,00 руб.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01.01.2023 составила 22 279,23 руб. и увеличилась сравнению со стоимостью материальных запасов по состоянию на 01.01.2022 на 430,84 руб., что соответствует данным об остатках материальных запасов, отраженных в Балансе (ф. 0503130) и Сведениях о движ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нии нефинансовых активов (ф. 0503168).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01.01.2022 составляла 73,66 руб., на 01.01.2023 года отсутствует. В проверяемом периоде дебиторская задолженность уменьшилась на 100,00%.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 на 01.01.2022 за услуги связи за декабрь с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ставляла 73,66 руб., на 01.01.2023 года составила 2 828,17 руб. В проверяемом п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риоде кредиторская задолженность увеличилась на 2 754,51 руб., или 3739,49%.</w:t>
      </w:r>
    </w:p>
    <w:p w:rsidR="002E667E" w:rsidRPr="002E667E" w:rsidRDefault="002E667E" w:rsidP="002E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 соответствуют показателям, указанным в Балансе (ф. 0503130). Просроченная задолженность о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- справка по консолидируемым расчетам (ф. 0503125);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- сведения о проведении инвентаризаций (Таблица № 6);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- сведения о финансовых вложениях получателя бюджетных средств, адм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 0503171);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государственном (муниципальном) долге, предоставленных бюджетных кредитах </w:t>
      </w:r>
      <w:hyperlink r:id="rId9" w:history="1">
        <w:r w:rsidRPr="002E667E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изменении остатков валюты баланса </w:t>
      </w:r>
      <w:hyperlink r:id="rId10" w:history="1">
        <w:r w:rsidRPr="002E667E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1" w:history="1">
        <w:r w:rsidRPr="002E667E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667E">
        <w:rPr>
          <w:rFonts w:asciiTheme="minorHAnsi" w:eastAsiaTheme="minorHAnsi" w:hAnsiTheme="minorHAnsi" w:cstheme="minorBidi"/>
          <w:sz w:val="28"/>
          <w:szCs w:val="28"/>
        </w:rPr>
        <w:t>-</w:t>
      </w:r>
      <w:r w:rsidRPr="002E667E">
        <w:rPr>
          <w:rFonts w:ascii="Times New Roman" w:eastAsiaTheme="minorHAnsi" w:hAnsi="Times New Roman"/>
          <w:sz w:val="28"/>
          <w:szCs w:val="28"/>
        </w:rPr>
        <w:t xml:space="preserve"> сведения о принятых и неисполненных обязательствах получателя бю</w:t>
      </w:r>
      <w:r w:rsidRPr="002E667E">
        <w:rPr>
          <w:rFonts w:ascii="Times New Roman" w:eastAsiaTheme="minorHAnsi" w:hAnsi="Times New Roman"/>
          <w:sz w:val="28"/>
          <w:szCs w:val="28"/>
        </w:rPr>
        <w:t>д</w:t>
      </w:r>
      <w:r w:rsidRPr="002E667E">
        <w:rPr>
          <w:rFonts w:ascii="Times New Roman" w:eastAsiaTheme="minorHAnsi" w:hAnsi="Times New Roman"/>
          <w:sz w:val="28"/>
          <w:szCs w:val="28"/>
        </w:rPr>
        <w:t xml:space="preserve">жетных средств </w:t>
      </w:r>
      <w:hyperlink r:id="rId12" w:history="1">
        <w:r w:rsidRPr="002E667E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2E667E">
        <w:rPr>
          <w:rFonts w:ascii="Times New Roman" w:eastAsiaTheme="minorHAnsi" w:hAnsi="Times New Roman"/>
          <w:sz w:val="28"/>
          <w:szCs w:val="28"/>
        </w:rPr>
        <w:t>;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бюджетных средств </w:t>
      </w:r>
      <w:hyperlink r:id="rId13" w:history="1">
        <w:r w:rsidRPr="002E667E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667E" w:rsidRPr="002E667E" w:rsidRDefault="002E667E" w:rsidP="002E6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- сведения о вложениях в объекты недвижимого имущества, объектах нез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</w:t>
      </w:r>
      <w:hyperlink r:id="rId14" w:anchor="l6943" w:history="1">
        <w:r w:rsidRPr="002E667E">
          <w:rPr>
            <w:rFonts w:ascii="Times New Roman" w:eastAsia="Times New Roman" w:hAnsi="Times New Roman"/>
            <w:sz w:val="28"/>
            <w:szCs w:val="28"/>
            <w:lang w:eastAsia="ru-RU"/>
          </w:rPr>
          <w:t>ф. 0503190</w:t>
        </w:r>
      </w:hyperlink>
      <w:r w:rsidRPr="002E667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E667E" w:rsidRPr="002E667E" w:rsidRDefault="002E667E" w:rsidP="002E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67E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15" w:history="1">
        <w:r w:rsidRPr="002E667E">
          <w:rPr>
            <w:rFonts w:ascii="Times New Roman" w:hAnsi="Times New Roman"/>
            <w:sz w:val="28"/>
            <w:szCs w:val="28"/>
          </w:rPr>
          <w:t>(ф. 0503296)</w:t>
        </w:r>
      </w:hyperlink>
      <w:r w:rsidRPr="002E667E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22" w:rsidRDefault="0080675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056F3D" w:rsidRPr="0055699A" w:rsidRDefault="00056F3D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F3D" w:rsidRPr="00056F3D" w:rsidRDefault="00056F3D" w:rsidP="0005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Контрольно-счетной палатой закреплены доходы бюджета на 2022 год в сумме 26 900,00 руб. Фактическое и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полнение по доходам за 2022 год составило 26 887,63 руб. или 99,95% утвержде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ных бюджетных назначений.</w:t>
      </w:r>
    </w:p>
    <w:p w:rsidR="00056F3D" w:rsidRPr="00056F3D" w:rsidRDefault="00056F3D" w:rsidP="0005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Контрольно-счетной палаты по ра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ходам на 2022 год составили 1 601 100,00 руб. Фактическое исполнение по расх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дам в 2022 году составило 1 593 895,81 руб., или 99,55% утвержденных бюдже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ных назначений.</w:t>
      </w:r>
    </w:p>
    <w:p w:rsidR="00056F3D" w:rsidRPr="00056F3D" w:rsidRDefault="00056F3D" w:rsidP="00056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Контрольно-счетной палаты соо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ветствует требованиям </w:t>
      </w:r>
      <w:r w:rsidRPr="00056F3D">
        <w:rPr>
          <w:rFonts w:ascii="Times New Roman" w:hAnsi="Times New Roman"/>
          <w:sz w:val="28"/>
          <w:szCs w:val="28"/>
        </w:rPr>
        <w:t>Инструкции № 191н. Фактов неполноты бюджетной о</w:t>
      </w:r>
      <w:r w:rsidRPr="00056F3D">
        <w:rPr>
          <w:rFonts w:ascii="Times New Roman" w:hAnsi="Times New Roman"/>
          <w:sz w:val="28"/>
          <w:szCs w:val="28"/>
        </w:rPr>
        <w:t>т</w:t>
      </w:r>
      <w:r w:rsidRPr="00056F3D">
        <w:rPr>
          <w:rFonts w:ascii="Times New Roman" w:hAnsi="Times New Roman"/>
          <w:sz w:val="28"/>
          <w:szCs w:val="28"/>
        </w:rPr>
        <w:t>четности не установлено.</w:t>
      </w:r>
    </w:p>
    <w:p w:rsidR="00056F3D" w:rsidRPr="00056F3D" w:rsidRDefault="00056F3D" w:rsidP="0005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056F3D" w:rsidRPr="00056F3D" w:rsidRDefault="00056F3D" w:rsidP="0005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3D" w:rsidRPr="00056F3D" w:rsidRDefault="00056F3D" w:rsidP="00056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Проведенная проверка годовой бюджетной отчетности за 2022 год главного администратора бюджетных средств Контрольно-счетной палаты Суксунского городского округа Пермского края дает основание полагать, что отчетность явл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F3D">
        <w:rPr>
          <w:rFonts w:ascii="Times New Roman" w:eastAsia="Times New Roman" w:hAnsi="Times New Roman"/>
          <w:sz w:val="28"/>
          <w:szCs w:val="28"/>
          <w:lang w:eastAsia="ru-RU"/>
        </w:rPr>
        <w:t>ется достоверной.</w:t>
      </w:r>
    </w:p>
    <w:p w:rsidR="00E12141" w:rsidRPr="00E95827" w:rsidRDefault="00E12141" w:rsidP="00E95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E12141" w:rsidRPr="0055699A" w:rsidRDefault="00E1214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3542" w:rsidRPr="00E12141" w:rsidRDefault="00E12141" w:rsidP="00E1214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459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C0C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542" w:rsidRDefault="00D43542" w:rsidP="004F76E4">
      <w:pPr>
        <w:pStyle w:val="21"/>
        <w:spacing w:line="240" w:lineRule="exact"/>
      </w:pPr>
    </w:p>
    <w:p w:rsidR="00D43542" w:rsidRPr="006D2F8D" w:rsidRDefault="00D43542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КСП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>а                                                О.Г. Туголукова</w:t>
      </w:r>
    </w:p>
    <w:sectPr w:rsidR="00A816AB" w:rsidRPr="006D2F8D" w:rsidSect="00BC1BA7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CC" w:rsidRDefault="00F725CC" w:rsidP="004F76E4">
      <w:pPr>
        <w:spacing w:after="0" w:line="240" w:lineRule="auto"/>
      </w:pPr>
      <w:r>
        <w:separator/>
      </w:r>
    </w:p>
  </w:endnote>
  <w:endnote w:type="continuationSeparator" w:id="0">
    <w:p w:rsidR="00F725CC" w:rsidRDefault="00F725CC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CC" w:rsidRDefault="00F725CC" w:rsidP="004F76E4">
      <w:pPr>
        <w:spacing w:after="0" w:line="240" w:lineRule="auto"/>
      </w:pPr>
      <w:r>
        <w:separator/>
      </w:r>
    </w:p>
  </w:footnote>
  <w:footnote w:type="continuationSeparator" w:id="0">
    <w:p w:rsidR="00F725CC" w:rsidRDefault="00F725CC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04A0" w:rsidRPr="00255904" w:rsidRDefault="002E04A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984DDB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04A0" w:rsidRDefault="002E04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0" w:rsidRDefault="002E04A0">
    <w:pPr>
      <w:pStyle w:val="aa"/>
      <w:jc w:val="center"/>
    </w:pPr>
  </w:p>
  <w:p w:rsidR="002E04A0" w:rsidRDefault="002E04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7FE5"/>
    <w:rsid w:val="00051E4F"/>
    <w:rsid w:val="000525A1"/>
    <w:rsid w:val="00056F3D"/>
    <w:rsid w:val="00057264"/>
    <w:rsid w:val="00061881"/>
    <w:rsid w:val="0006361C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4C8F"/>
    <w:rsid w:val="000D5502"/>
    <w:rsid w:val="000D65F8"/>
    <w:rsid w:val="000D71E0"/>
    <w:rsid w:val="000E16F4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4EE1"/>
    <w:rsid w:val="001356A0"/>
    <w:rsid w:val="00136151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57189"/>
    <w:rsid w:val="00161122"/>
    <w:rsid w:val="00173A3B"/>
    <w:rsid w:val="0017411B"/>
    <w:rsid w:val="0018173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6904"/>
    <w:rsid w:val="001F328E"/>
    <w:rsid w:val="001F34A6"/>
    <w:rsid w:val="001F6662"/>
    <w:rsid w:val="0020408F"/>
    <w:rsid w:val="00205D34"/>
    <w:rsid w:val="0020661C"/>
    <w:rsid w:val="002072A9"/>
    <w:rsid w:val="0021059C"/>
    <w:rsid w:val="00211A25"/>
    <w:rsid w:val="0021258F"/>
    <w:rsid w:val="00216440"/>
    <w:rsid w:val="00221C92"/>
    <w:rsid w:val="00225A2C"/>
    <w:rsid w:val="00230365"/>
    <w:rsid w:val="0023165D"/>
    <w:rsid w:val="00233452"/>
    <w:rsid w:val="00236C69"/>
    <w:rsid w:val="00240B4C"/>
    <w:rsid w:val="002467CF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7275B"/>
    <w:rsid w:val="00282EC2"/>
    <w:rsid w:val="00283D91"/>
    <w:rsid w:val="002841DA"/>
    <w:rsid w:val="00284A3B"/>
    <w:rsid w:val="00293FDF"/>
    <w:rsid w:val="00294738"/>
    <w:rsid w:val="002A01EF"/>
    <w:rsid w:val="002A0E89"/>
    <w:rsid w:val="002A3486"/>
    <w:rsid w:val="002A426A"/>
    <w:rsid w:val="002A4B99"/>
    <w:rsid w:val="002A533D"/>
    <w:rsid w:val="002C006C"/>
    <w:rsid w:val="002C07E3"/>
    <w:rsid w:val="002C0A2F"/>
    <w:rsid w:val="002C2CDA"/>
    <w:rsid w:val="002C3015"/>
    <w:rsid w:val="002C3F2E"/>
    <w:rsid w:val="002C58E2"/>
    <w:rsid w:val="002D0A4D"/>
    <w:rsid w:val="002D7046"/>
    <w:rsid w:val="002E04A0"/>
    <w:rsid w:val="002E1B13"/>
    <w:rsid w:val="002E2216"/>
    <w:rsid w:val="002E2FDC"/>
    <w:rsid w:val="002E3644"/>
    <w:rsid w:val="002E667E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3F4C"/>
    <w:rsid w:val="003160BE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4F02"/>
    <w:rsid w:val="003559F1"/>
    <w:rsid w:val="0035699F"/>
    <w:rsid w:val="0035713A"/>
    <w:rsid w:val="00357E4D"/>
    <w:rsid w:val="0036581A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291A"/>
    <w:rsid w:val="003B3AB9"/>
    <w:rsid w:val="003B4830"/>
    <w:rsid w:val="003B4ABF"/>
    <w:rsid w:val="003B5078"/>
    <w:rsid w:val="003B605E"/>
    <w:rsid w:val="003B7148"/>
    <w:rsid w:val="003C5775"/>
    <w:rsid w:val="003D052C"/>
    <w:rsid w:val="003D180B"/>
    <w:rsid w:val="003D2A9B"/>
    <w:rsid w:val="003D5C81"/>
    <w:rsid w:val="003E0424"/>
    <w:rsid w:val="003E4C05"/>
    <w:rsid w:val="003E4E33"/>
    <w:rsid w:val="003F0211"/>
    <w:rsid w:val="003F15F6"/>
    <w:rsid w:val="003F26C8"/>
    <w:rsid w:val="003F5D56"/>
    <w:rsid w:val="003F685F"/>
    <w:rsid w:val="00403055"/>
    <w:rsid w:val="00403322"/>
    <w:rsid w:val="004052E6"/>
    <w:rsid w:val="00405546"/>
    <w:rsid w:val="00405DC6"/>
    <w:rsid w:val="004071A4"/>
    <w:rsid w:val="004138D7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296"/>
    <w:rsid w:val="00440FD0"/>
    <w:rsid w:val="004418E0"/>
    <w:rsid w:val="004423AC"/>
    <w:rsid w:val="00446FDD"/>
    <w:rsid w:val="0044737B"/>
    <w:rsid w:val="004510D0"/>
    <w:rsid w:val="00451867"/>
    <w:rsid w:val="0045242A"/>
    <w:rsid w:val="00454634"/>
    <w:rsid w:val="00463A5B"/>
    <w:rsid w:val="004674E9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6BBA"/>
    <w:rsid w:val="004B7753"/>
    <w:rsid w:val="004C0CA4"/>
    <w:rsid w:val="004C1D00"/>
    <w:rsid w:val="004C21DA"/>
    <w:rsid w:val="004C5C4E"/>
    <w:rsid w:val="004D4E33"/>
    <w:rsid w:val="004D7EF1"/>
    <w:rsid w:val="004E1422"/>
    <w:rsid w:val="004E40B7"/>
    <w:rsid w:val="004E47DB"/>
    <w:rsid w:val="004E7D50"/>
    <w:rsid w:val="004F424C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526EC"/>
    <w:rsid w:val="00553589"/>
    <w:rsid w:val="00555E2E"/>
    <w:rsid w:val="0055699A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42DF3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300B"/>
    <w:rsid w:val="00667142"/>
    <w:rsid w:val="00667A5C"/>
    <w:rsid w:val="00670618"/>
    <w:rsid w:val="00670ECB"/>
    <w:rsid w:val="00672239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6F0A07"/>
    <w:rsid w:val="00700586"/>
    <w:rsid w:val="00703181"/>
    <w:rsid w:val="0070470C"/>
    <w:rsid w:val="0070618B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07CB"/>
    <w:rsid w:val="007623CD"/>
    <w:rsid w:val="007624D6"/>
    <w:rsid w:val="00762C71"/>
    <w:rsid w:val="00765471"/>
    <w:rsid w:val="00770617"/>
    <w:rsid w:val="00770E94"/>
    <w:rsid w:val="00774C01"/>
    <w:rsid w:val="00785A04"/>
    <w:rsid w:val="007926AD"/>
    <w:rsid w:val="00793E7F"/>
    <w:rsid w:val="00794277"/>
    <w:rsid w:val="0079499D"/>
    <w:rsid w:val="00795ACB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C7D61"/>
    <w:rsid w:val="007D2541"/>
    <w:rsid w:val="007D299A"/>
    <w:rsid w:val="007D2C4C"/>
    <w:rsid w:val="007D2F4D"/>
    <w:rsid w:val="007D4E78"/>
    <w:rsid w:val="007D7212"/>
    <w:rsid w:val="007E0085"/>
    <w:rsid w:val="007E1523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4966"/>
    <w:rsid w:val="008258DB"/>
    <w:rsid w:val="00825FF2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79C9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D3F30"/>
    <w:rsid w:val="008E0EDA"/>
    <w:rsid w:val="008E252B"/>
    <w:rsid w:val="008E6E93"/>
    <w:rsid w:val="008F5A10"/>
    <w:rsid w:val="00901AD9"/>
    <w:rsid w:val="009079F7"/>
    <w:rsid w:val="009140B3"/>
    <w:rsid w:val="00914822"/>
    <w:rsid w:val="0091519F"/>
    <w:rsid w:val="009208B0"/>
    <w:rsid w:val="00921EA9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75265"/>
    <w:rsid w:val="00976B0E"/>
    <w:rsid w:val="00980E8E"/>
    <w:rsid w:val="00984DDB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07491"/>
    <w:rsid w:val="00A10F92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E1B"/>
    <w:rsid w:val="00A755FF"/>
    <w:rsid w:val="00A816AB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E144F"/>
    <w:rsid w:val="00AE6E69"/>
    <w:rsid w:val="00AF2073"/>
    <w:rsid w:val="00AF24B7"/>
    <w:rsid w:val="00AF4B45"/>
    <w:rsid w:val="00AF7968"/>
    <w:rsid w:val="00B058BF"/>
    <w:rsid w:val="00B0648D"/>
    <w:rsid w:val="00B12015"/>
    <w:rsid w:val="00B14A35"/>
    <w:rsid w:val="00B15BCC"/>
    <w:rsid w:val="00B16061"/>
    <w:rsid w:val="00B224EE"/>
    <w:rsid w:val="00B23960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3F11"/>
    <w:rsid w:val="00B8490C"/>
    <w:rsid w:val="00B90B66"/>
    <w:rsid w:val="00B968EE"/>
    <w:rsid w:val="00B96934"/>
    <w:rsid w:val="00BA4A4E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D51E8"/>
    <w:rsid w:val="00BD5634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178E4"/>
    <w:rsid w:val="00C20D04"/>
    <w:rsid w:val="00C212A5"/>
    <w:rsid w:val="00C21D1C"/>
    <w:rsid w:val="00C261E2"/>
    <w:rsid w:val="00C26F63"/>
    <w:rsid w:val="00C3263D"/>
    <w:rsid w:val="00C36622"/>
    <w:rsid w:val="00C4225D"/>
    <w:rsid w:val="00C43131"/>
    <w:rsid w:val="00C43EA3"/>
    <w:rsid w:val="00C458D0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874F6"/>
    <w:rsid w:val="00C95974"/>
    <w:rsid w:val="00CA13B6"/>
    <w:rsid w:val="00CA3660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4A"/>
    <w:rsid w:val="00CF20D2"/>
    <w:rsid w:val="00CF263F"/>
    <w:rsid w:val="00CF3952"/>
    <w:rsid w:val="00CF7814"/>
    <w:rsid w:val="00D03026"/>
    <w:rsid w:val="00D03669"/>
    <w:rsid w:val="00D061B9"/>
    <w:rsid w:val="00D06B1A"/>
    <w:rsid w:val="00D217A2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47A78"/>
    <w:rsid w:val="00D61231"/>
    <w:rsid w:val="00D65630"/>
    <w:rsid w:val="00D70957"/>
    <w:rsid w:val="00D70F4E"/>
    <w:rsid w:val="00D718BE"/>
    <w:rsid w:val="00D73D01"/>
    <w:rsid w:val="00D82D27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C2CB2"/>
    <w:rsid w:val="00DD3B45"/>
    <w:rsid w:val="00DD55C9"/>
    <w:rsid w:val="00DD7953"/>
    <w:rsid w:val="00DE28F8"/>
    <w:rsid w:val="00DF357D"/>
    <w:rsid w:val="00E01049"/>
    <w:rsid w:val="00E019FA"/>
    <w:rsid w:val="00E040F6"/>
    <w:rsid w:val="00E07708"/>
    <w:rsid w:val="00E12141"/>
    <w:rsid w:val="00E15401"/>
    <w:rsid w:val="00E211E7"/>
    <w:rsid w:val="00E24214"/>
    <w:rsid w:val="00E256D1"/>
    <w:rsid w:val="00E31921"/>
    <w:rsid w:val="00E3757E"/>
    <w:rsid w:val="00E41043"/>
    <w:rsid w:val="00E41406"/>
    <w:rsid w:val="00E52FDC"/>
    <w:rsid w:val="00E574C9"/>
    <w:rsid w:val="00E62941"/>
    <w:rsid w:val="00E63C44"/>
    <w:rsid w:val="00E746AB"/>
    <w:rsid w:val="00E90220"/>
    <w:rsid w:val="00E91C5F"/>
    <w:rsid w:val="00E9344C"/>
    <w:rsid w:val="00E95827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286D"/>
    <w:rsid w:val="00F03CE6"/>
    <w:rsid w:val="00F0483C"/>
    <w:rsid w:val="00F05761"/>
    <w:rsid w:val="00F12EC9"/>
    <w:rsid w:val="00F27878"/>
    <w:rsid w:val="00F361CF"/>
    <w:rsid w:val="00F417BE"/>
    <w:rsid w:val="00F41E39"/>
    <w:rsid w:val="00F43338"/>
    <w:rsid w:val="00F45998"/>
    <w:rsid w:val="00F46516"/>
    <w:rsid w:val="00F51E27"/>
    <w:rsid w:val="00F52332"/>
    <w:rsid w:val="00F52DAC"/>
    <w:rsid w:val="00F63A81"/>
    <w:rsid w:val="00F645F6"/>
    <w:rsid w:val="00F671D5"/>
    <w:rsid w:val="00F67F5C"/>
    <w:rsid w:val="00F703DB"/>
    <w:rsid w:val="00F70AEE"/>
    <w:rsid w:val="00F70E96"/>
    <w:rsid w:val="00F7217F"/>
    <w:rsid w:val="00F725CC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4" Type="http://schemas.openxmlformats.org/officeDocument/2006/relationships/hyperlink" Target="https://normativ.kontur.ru/document?moduleid=1&amp;documentid=357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8B99-7486-49C7-B022-2F47724C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10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230</cp:revision>
  <cp:lastPrinted>2018-08-22T09:16:00Z</cp:lastPrinted>
  <dcterms:created xsi:type="dcterms:W3CDTF">2018-08-17T10:08:00Z</dcterms:created>
  <dcterms:modified xsi:type="dcterms:W3CDTF">2023-09-29T11:10:00Z</dcterms:modified>
</cp:coreProperties>
</file>